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363C126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25A25352"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4F1CD1">
        <w:rPr>
          <w:rFonts w:ascii="Calibri" w:hAnsi="Calibri" w:cs="Calibri"/>
          <w:color w:val="000000"/>
        </w:rPr>
        <w:t>EU Member States or</w:t>
      </w:r>
      <w:r w:rsidR="00340475">
        <w:rPr>
          <w:rFonts w:ascii="Calibri" w:hAnsi="Calibri" w:cs="Calibri"/>
          <w:color w:val="000000"/>
        </w:rPr>
        <w:t xml:space="preserve"> third countries associated to the programme</w:t>
      </w:r>
      <w:r w:rsidRPr="008A2E16">
        <w:rPr>
          <w:rFonts w:ascii="Calibri" w:hAnsi="Calibri" w:cs="Calibri"/>
          <w:color w:val="000000"/>
        </w:rPr>
        <w:t xml:space="preserve"> </w:t>
      </w:r>
      <w:r w:rsidR="004F1CD1">
        <w:rPr>
          <w:rFonts w:ascii="Calibri" w:hAnsi="Calibri" w:cs="Calibri"/>
          <w:color w:val="000000"/>
        </w:rPr>
        <w:t xml:space="preserve">and third countries not associated to the Programme </w:t>
      </w:r>
      <w:r w:rsidRPr="008A2E16">
        <w:rPr>
          <w:rFonts w:ascii="Calibri" w:hAnsi="Calibri" w:cs="Calibri"/>
          <w:color w:val="000000"/>
        </w:rPr>
        <w:t>(KA1</w:t>
      </w:r>
      <w:r w:rsidR="004F1CD1">
        <w:rPr>
          <w:rFonts w:ascii="Calibri" w:hAnsi="Calibri" w:cs="Calibri"/>
          <w:color w:val="000000"/>
        </w:rPr>
        <w:t>71</w:t>
      </w:r>
      <w:r w:rsidRPr="008A2E16">
        <w:rPr>
          <w:rFonts w:ascii="Calibri" w:hAnsi="Calibri" w:cs="Calibri"/>
          <w:color w:val="000000"/>
        </w:rPr>
        <w:t>)</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2B502D">
        <w:rPr>
          <w:rFonts w:ascii="Calibri" w:hAnsi="Calibri" w:cs="Calibri"/>
          <w:color w:val="000000"/>
        </w:rPr>
        <w:t xml:space="preserve">higher Education Institutions must </w:t>
      </w:r>
      <w:r w:rsidR="00E35AAA" w:rsidRPr="002B502D">
        <w:rPr>
          <w:rFonts w:ascii="Calibri" w:hAnsi="Calibri" w:cs="Calibri"/>
          <w:color w:val="000000"/>
        </w:rPr>
        <w:t xml:space="preserve">ensure the usage of digital </w:t>
      </w:r>
      <w:r w:rsidR="00F14F1F" w:rsidRPr="002B502D">
        <w:rPr>
          <w:rFonts w:ascii="Calibri" w:hAnsi="Calibri" w:cs="Calibri"/>
          <w:color w:val="000000"/>
        </w:rPr>
        <w:t>learning agreements</w:t>
      </w:r>
      <w:r w:rsidRPr="002B502D">
        <w:rPr>
          <w:rFonts w:ascii="Calibri" w:hAnsi="Calibri" w:cs="Calibri"/>
          <w:color w:val="000000"/>
        </w:rPr>
        <w:t>.</w:t>
      </w:r>
      <w:r w:rsidR="002B502D">
        <w:rPr>
          <w:rFonts w:ascii="Calibri" w:hAnsi="Calibri" w:cs="Calibri"/>
          <w:color w:val="000000"/>
        </w:rPr>
        <w:t xml:space="preserve"> Until this becomes available for international mobility, it is recommended to use this template. </w:t>
      </w:r>
      <w:r w:rsidR="002B502D" w:rsidRPr="002B502D">
        <w:rPr>
          <w:rFonts w:ascii="Calibri" w:hAnsi="Calibri" w:cs="Calibri"/>
          <w:color w:val="000000"/>
        </w:rPr>
        <w:t>However, if higher education institutions already have an IT system in place to produce the Learning Agreement or the Transcript of Records, they can continue using it, provided that all the minimum requirements listed in this document are made available. Further fields can be added, if needed (e.g. information on the coordinator of a consortium), and the format (e.g. font size and colours) can be adapted.</w:t>
      </w: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335C4" w:rsidR="008A2E16" w:rsidRPr="00532072" w:rsidRDefault="007D1F8E" w:rsidP="00532072">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General information</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1299558A"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Before the mobility, it is necessary to fill in information on the student, the Sending and the Receiving Institutions</w:t>
      </w:r>
      <w:r w:rsidR="00CA6AFA">
        <w:rPr>
          <w:rFonts w:ascii="Calibri" w:hAnsi="Calibri" w:cs="Calibri"/>
          <w:color w:val="000000"/>
        </w:rPr>
        <w:t xml:space="preserve"> in the general information table</w:t>
      </w:r>
      <w:r w:rsidRPr="008A2E16">
        <w:rPr>
          <w:rFonts w:ascii="Calibri" w:hAnsi="Calibri" w:cs="Calibri"/>
          <w:color w:val="000000"/>
        </w:rPr>
        <w:t>.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115D2266" w:rsidR="003602E8" w:rsidRDefault="00D2505E"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CA6AFA">
        <w:rPr>
          <w:rFonts w:ascii="Calibri" w:hAnsi="Calibri" w:cs="Calibri"/>
          <w:color w:val="000000"/>
        </w:rPr>
        <w:t>from 2 months</w:t>
      </w:r>
      <w:r w:rsidR="0073538D" w:rsidRPr="0073538D">
        <w:rPr>
          <w:rFonts w:ascii="Calibri" w:hAnsi="Calibri" w:cs="Calibri"/>
          <w:color w:val="000000"/>
        </w:rPr>
        <w:t xml:space="preserve">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t>to their study mobili</w:t>
      </w:r>
      <w:r w:rsidR="0073538D">
        <w:rPr>
          <w:rFonts w:ascii="Calibri" w:hAnsi="Calibri" w:cs="Calibri"/>
          <w:color w:val="000000"/>
        </w:rPr>
        <w:t xml:space="preserve">ty before, during or after. If the student </w:t>
      </w:r>
      <w:r w:rsidR="00805D46">
        <w:rPr>
          <w:rFonts w:ascii="Calibri" w:hAnsi="Calibri" w:cs="Calibri"/>
          <w:color w:val="000000"/>
        </w:rPr>
        <w:t>uses this option</w:t>
      </w:r>
      <w:r w:rsidR="0073538D">
        <w:rPr>
          <w:rFonts w:ascii="Calibri" w:hAnsi="Calibri" w:cs="Calibri"/>
          <w:color w:val="000000"/>
        </w:rPr>
        <w:t xml:space="preserve">, they must also select the virtual component as part of their mobility type. </w:t>
      </w:r>
    </w:p>
    <w:p w14:paraId="42259A84" w14:textId="312F966C" w:rsidR="003602E8" w:rsidRPr="003602E8" w:rsidRDefault="0073538D"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w:t>
      </w:r>
      <w:r w:rsidR="003F0997">
        <w:rPr>
          <w:rFonts w:ascii="Calibri" w:hAnsi="Calibri" w:cs="Calibri"/>
          <w:color w:val="000000"/>
        </w:rPr>
        <w:t xml:space="preserve"> of 5-30 days </w:t>
      </w:r>
      <w:r w:rsidR="003F0997" w:rsidRPr="003602E8">
        <w:rPr>
          <w:rFonts w:ascii="Calibri" w:hAnsi="Calibri" w:cs="Calibri"/>
          <w:color w:val="000000"/>
        </w:rPr>
        <w:t>by combining it with a compulsory virtual component</w:t>
      </w:r>
      <w:r w:rsidR="003602E8">
        <w:rPr>
          <w:rFonts w:ascii="Calibri" w:hAnsi="Calibri" w:cs="Calibri"/>
          <w:color w:val="000000"/>
        </w:rPr>
        <w:t xml:space="preserve">. </w:t>
      </w:r>
    </w:p>
    <w:p w14:paraId="650FBC4C" w14:textId="37C34B9E" w:rsidR="003602E8" w:rsidRPr="003F0997" w:rsidRDefault="003602E8" w:rsidP="003F0997">
      <w:pPr>
        <w:pStyle w:val="ListParagraph"/>
        <w:numPr>
          <w:ilvl w:val="0"/>
          <w:numId w:val="2"/>
        </w:numPr>
        <w:rPr>
          <w:rFonts w:ascii="Calibri" w:hAnsi="Calibri" w:cs="Calibri"/>
          <w:color w:val="000000"/>
        </w:rPr>
      </w:pPr>
      <w:r w:rsidRPr="003F0997">
        <w:rPr>
          <w:rFonts w:ascii="Calibri" w:hAnsi="Calibri" w:cs="Calibri"/>
          <w:b/>
          <w:color w:val="000000"/>
        </w:rPr>
        <w:t xml:space="preserve">Short-term doctoral mobility: </w:t>
      </w:r>
      <w:r w:rsidRPr="003F0997">
        <w:rPr>
          <w:rFonts w:ascii="Calibri" w:hAnsi="Calibri" w:cs="Calibri"/>
          <w:color w:val="000000"/>
        </w:rPr>
        <w:t xml:space="preserve">Doctoral Candidates should select this mobility type when they are applying to undertake a short-term physical mobility of 5-30 days. </w:t>
      </w:r>
      <w:r w:rsidR="003F0997" w:rsidRPr="003F0997">
        <w:rPr>
          <w:rFonts w:ascii="Calibri" w:hAnsi="Calibri" w:cs="Calibri"/>
          <w:color w:val="000000"/>
        </w:rPr>
        <w:t>The Doctoral candidate also has the option to</w:t>
      </w:r>
      <w:r w:rsidRPr="003F0997">
        <w:rPr>
          <w:rFonts w:ascii="Calibri" w:hAnsi="Calibri" w:cs="Calibri"/>
          <w:color w:val="000000"/>
        </w:rPr>
        <w:t xml:space="preserve"> add a virtual component to </w:t>
      </w:r>
      <w:r w:rsidR="003F0997">
        <w:rPr>
          <w:rFonts w:ascii="Calibri" w:hAnsi="Calibri" w:cs="Calibri"/>
          <w:color w:val="000000"/>
        </w:rPr>
        <w:t xml:space="preserve">their study </w:t>
      </w:r>
      <w:r w:rsidR="003F0997" w:rsidRPr="003F0997">
        <w:rPr>
          <w:rFonts w:ascii="Calibri" w:hAnsi="Calibri" w:cs="Calibri"/>
          <w:color w:val="000000"/>
        </w:rPr>
        <w:t xml:space="preserve">mobility before, during or after. If the student </w:t>
      </w:r>
      <w:r w:rsidR="00805D46">
        <w:rPr>
          <w:rFonts w:ascii="Calibri" w:hAnsi="Calibri" w:cs="Calibri"/>
          <w:color w:val="000000"/>
        </w:rPr>
        <w:t>uses this option</w:t>
      </w:r>
      <w:r w:rsidR="003F0997" w:rsidRPr="003F0997">
        <w:rPr>
          <w:rFonts w:ascii="Calibri" w:hAnsi="Calibri" w:cs="Calibri"/>
          <w:color w:val="000000"/>
        </w:rPr>
        <w:t xml:space="preserve">, they must also select the virtual component as part of their mobility type. </w:t>
      </w:r>
    </w:p>
    <w:p w14:paraId="27B78CF9" w14:textId="34ADAE33"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start and end date of the agreed study programme that the student will carry out abroad. In the case of a study mobility abroad with a duration from 2 months</w:t>
      </w:r>
      <w:r w:rsidR="00805D46">
        <w:rPr>
          <w:rFonts w:ascii="Calibri" w:hAnsi="Calibri" w:cs="Calibri"/>
          <w:color w:val="000000" w:themeColor="text1"/>
        </w:rPr>
        <w:t xml:space="preserve"> to </w:t>
      </w:r>
      <w:r w:rsidRPr="3E859DBA">
        <w:rPr>
          <w:rFonts w:ascii="Calibri" w:hAnsi="Calibri" w:cs="Calibri"/>
          <w:color w:val="000000" w:themeColor="text1"/>
        </w:rPr>
        <w:t xml:space="preserve">12 months, the indicative month/year is sufficient. Most of the general information fields </w:t>
      </w:r>
      <w:r w:rsidR="008A2E16" w:rsidRPr="3E859DBA">
        <w:rPr>
          <w:rFonts w:ascii="Calibri" w:hAnsi="Calibri" w:cs="Calibri"/>
          <w:color w:val="000000" w:themeColor="text1"/>
        </w:rPr>
        <w:t xml:space="preserve">related to the student, Sending and Receiving </w:t>
      </w:r>
      <w:r w:rsidR="008A2E16" w:rsidRPr="3E859DBA">
        <w:rPr>
          <w:rFonts w:ascii="Calibri" w:hAnsi="Calibri" w:cs="Calibri"/>
          <w:color w:val="000000" w:themeColor="text1"/>
        </w:rPr>
        <w:lastRenderedPageBreak/>
        <w:t>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w:t>
      </w:r>
      <w:r w:rsidR="00CF3D29">
        <w:rPr>
          <w:rFonts w:ascii="Calibri" w:hAnsi="Calibri" w:cs="Calibri"/>
          <w:color w:val="000000" w:themeColor="text1"/>
        </w:rPr>
        <w:t>b</w:t>
      </w:r>
      <w:r w:rsidR="00805D46">
        <w:rPr>
          <w:rFonts w:ascii="Calibri" w:hAnsi="Calibri" w:cs="Calibri"/>
          <w:color w:val="000000" w:themeColor="text1"/>
        </w:rPr>
        <w:t>eneficiary</w:t>
      </w:r>
      <w:r w:rsidR="00CF3D29">
        <w:rPr>
          <w:rFonts w:ascii="Calibri" w:hAnsi="Calibri" w:cs="Calibri"/>
          <w:color w:val="000000" w:themeColor="text1"/>
        </w:rPr>
        <w:t>,</w:t>
      </w:r>
      <w:r w:rsidR="00805D46">
        <w:rPr>
          <w:rFonts w:ascii="Calibri" w:hAnsi="Calibri" w:cs="Calibri"/>
          <w:color w:val="000000" w:themeColor="text1"/>
        </w:rPr>
        <w:t xml:space="preserve"> </w:t>
      </w:r>
      <w:r w:rsidR="00B525AC">
        <w:rPr>
          <w:rFonts w:ascii="Calibri" w:hAnsi="Calibri" w:cs="Calibri"/>
          <w:color w:val="000000" w:themeColor="text1"/>
        </w:rPr>
        <w:t xml:space="preserve">once </w:t>
      </w:r>
      <w:r w:rsidR="00CF3D29">
        <w:rPr>
          <w:rFonts w:ascii="Calibri" w:hAnsi="Calibri" w:cs="Calibri"/>
          <w:color w:val="000000" w:themeColor="text1"/>
        </w:rPr>
        <w:t>the</w:t>
      </w:r>
      <w:r w:rsidR="00B525AC">
        <w:rPr>
          <w:rFonts w:ascii="Calibri" w:hAnsi="Calibri" w:cs="Calibri"/>
          <w:color w:val="000000" w:themeColor="text1"/>
        </w:rPr>
        <w:t xml:space="preserve"> internal selection procedures </w:t>
      </w:r>
      <w:r w:rsidR="00CF3D29">
        <w:rPr>
          <w:rFonts w:ascii="Calibri" w:hAnsi="Calibri" w:cs="Calibri"/>
          <w:color w:val="000000" w:themeColor="text1"/>
        </w:rPr>
        <w:t xml:space="preserve">are completed </w:t>
      </w:r>
      <w:r w:rsidR="00B525AC">
        <w:rPr>
          <w:rFonts w:ascii="Calibri" w:hAnsi="Calibri" w:cs="Calibri"/>
          <w:color w:val="000000" w:themeColor="text1"/>
        </w:rPr>
        <w:t xml:space="preserve">and </w:t>
      </w:r>
      <w:r w:rsidR="00CF3D29">
        <w:rPr>
          <w:rFonts w:ascii="Calibri" w:hAnsi="Calibri" w:cs="Calibri"/>
          <w:color w:val="000000" w:themeColor="text1"/>
        </w:rPr>
        <w:t xml:space="preserve">the </w:t>
      </w:r>
      <w:r w:rsidR="00B525AC">
        <w:rPr>
          <w:rFonts w:ascii="Calibri" w:hAnsi="Calibri" w:cs="Calibri"/>
          <w:color w:val="000000" w:themeColor="text1"/>
        </w:rPr>
        <w:t>mobility grants</w:t>
      </w:r>
      <w:r w:rsidR="00CF3D29">
        <w:rPr>
          <w:rFonts w:ascii="Calibri" w:hAnsi="Calibri" w:cs="Calibri"/>
          <w:color w:val="000000" w:themeColor="text1"/>
        </w:rPr>
        <w:t xml:space="preserve"> are awarded</w:t>
      </w:r>
      <w:r w:rsidRPr="3E859DBA">
        <w:rPr>
          <w:rFonts w:ascii="Calibri" w:hAnsi="Calibri" w:cs="Calibri"/>
          <w:color w:val="000000" w:themeColor="text1"/>
        </w:rPr>
        <w:t xml:space="preserve">. </w:t>
      </w:r>
    </w:p>
    <w:p w14:paraId="48F07C60" w14:textId="0600B3B2"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22A72C92" w:rsidR="00F92902" w:rsidRPr="00F92902" w:rsidRDefault="00E41E91" w:rsidP="00F92902">
      <w:pPr>
        <w:spacing w:after="120" w:line="240" w:lineRule="auto"/>
        <w:ind w:right="28"/>
        <w:jc w:val="center"/>
        <w:rPr>
          <w:rFonts w:ascii="Verdana" w:eastAsia="Times New Roman" w:hAnsi="Verdana" w:cs="Arial"/>
          <w:b/>
          <w:color w:val="002060"/>
          <w:sz w:val="24"/>
          <w:szCs w:val="36"/>
        </w:rPr>
      </w:pPr>
      <w:r>
        <w:rPr>
          <w:rFonts w:ascii="Verdana" w:eastAsia="Times New Roman" w:hAnsi="Verdana" w:cs="Arial"/>
          <w:b/>
          <w:color w:val="002060"/>
          <w:sz w:val="24"/>
          <w:szCs w:val="36"/>
        </w:rPr>
        <w:t>Before the m</w:t>
      </w:r>
      <w:r w:rsidR="00F92902" w:rsidRPr="00F92902">
        <w:rPr>
          <w:rFonts w:ascii="Verdana" w:eastAsia="Times New Roman" w:hAnsi="Verdana" w:cs="Arial"/>
          <w:b/>
          <w:color w:val="002060"/>
          <w:sz w:val="24"/>
          <w:szCs w:val="36"/>
        </w:rPr>
        <w:t xml:space="preserve">obility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68E2EFC8"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Educational components (Tables A</w:t>
      </w:r>
      <w:r w:rsidR="00E41E91">
        <w:rPr>
          <w:rFonts w:ascii="Calibri" w:hAnsi="Calibri" w:cs="Calibri"/>
          <w:b/>
          <w:bCs/>
          <w:color w:val="000000"/>
          <w:u w:val="single"/>
        </w:rPr>
        <w:t>,</w:t>
      </w:r>
      <w:r w:rsidRPr="008A2E16">
        <w:rPr>
          <w:rFonts w:ascii="Calibri" w:hAnsi="Calibri" w:cs="Calibri"/>
          <w:b/>
          <w:bCs/>
          <w:color w:val="000000"/>
          <w:u w:val="single"/>
        </w:rPr>
        <w:t xml:space="preserve"> B</w:t>
      </w:r>
      <w:r w:rsidR="00E41E91">
        <w:rPr>
          <w:rFonts w:ascii="Calibri" w:hAnsi="Calibri" w:cs="Calibri"/>
          <w:b/>
          <w:bCs/>
          <w:color w:val="000000"/>
          <w:u w:val="single"/>
        </w:rPr>
        <w:t xml:space="preserve"> and C</w:t>
      </w:r>
      <w:r w:rsidRPr="008A2E16">
        <w:rPr>
          <w:rFonts w:ascii="Calibri" w:hAnsi="Calibri" w:cs="Calibri"/>
          <w:b/>
          <w:bCs/>
          <w:color w:val="000000"/>
          <w:u w:val="single"/>
        </w:rPr>
        <w:t xml:space="preserve">)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41BCBA0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w:t>
      </w:r>
      <w:r w:rsidR="00D766D7">
        <w:rPr>
          <w:rFonts w:ascii="Calibri" w:hAnsi="Calibri" w:cs="Calibri"/>
          <w:color w:val="000000"/>
        </w:rPr>
        <w:t xml:space="preserve">during their physical mobility </w:t>
      </w:r>
      <w:r w:rsidRPr="008A2E16">
        <w:rPr>
          <w:rFonts w:ascii="Calibri" w:hAnsi="Calibri" w:cs="Calibri"/>
          <w:color w:val="000000"/>
        </w:rPr>
        <w:t>(in Table A)</w:t>
      </w:r>
      <w:r w:rsidR="00D766D7">
        <w:rPr>
          <w:rFonts w:ascii="Calibri" w:hAnsi="Calibri" w:cs="Calibri"/>
          <w:color w:val="000000"/>
        </w:rPr>
        <w:t xml:space="preserve"> or as virtual component of the mobility (in Table B)</w:t>
      </w:r>
      <w:r w:rsidRPr="008A2E16">
        <w:rPr>
          <w:rFonts w:ascii="Calibri" w:hAnsi="Calibri" w:cs="Calibri"/>
          <w:color w:val="000000"/>
        </w:rPr>
        <w:t xml:space="preserve"> and it must contain as well the group of educational components that will be replaced in his/her degree by the Sending Institution (in Table </w:t>
      </w:r>
      <w:r w:rsidR="00E41E91">
        <w:rPr>
          <w:rFonts w:ascii="Calibri" w:hAnsi="Calibri" w:cs="Calibri"/>
          <w:color w:val="000000"/>
        </w:rPr>
        <w:t>C</w:t>
      </w:r>
      <w:r w:rsidRPr="008A2E16">
        <w:rPr>
          <w:rFonts w:ascii="Calibri" w:hAnsi="Calibri" w:cs="Calibri"/>
          <w:color w:val="000000"/>
        </w:rPr>
        <w:t>) upon successful completion of the study programme abroad. It is necessary to fill in Tables A</w:t>
      </w:r>
      <w:r w:rsidR="00D766D7">
        <w:rPr>
          <w:rFonts w:ascii="Calibri" w:hAnsi="Calibri" w:cs="Calibri"/>
          <w:color w:val="000000"/>
        </w:rPr>
        <w:t>,</w:t>
      </w:r>
      <w:r w:rsidRPr="008A2E16">
        <w:rPr>
          <w:rFonts w:ascii="Calibri" w:hAnsi="Calibri" w:cs="Calibri"/>
          <w:color w:val="000000"/>
        </w:rPr>
        <w:t xml:space="preserve"> B</w:t>
      </w:r>
      <w:r w:rsidR="00D766D7">
        <w:rPr>
          <w:rFonts w:ascii="Calibri" w:hAnsi="Calibri" w:cs="Calibri"/>
          <w:color w:val="000000"/>
        </w:rPr>
        <w:t xml:space="preserve"> (if applicable) and C</w:t>
      </w:r>
      <w:r w:rsidRPr="008A2E16">
        <w:rPr>
          <w:rFonts w:ascii="Calibri" w:hAnsi="Calibri" w:cs="Calibri"/>
          <w:color w:val="000000"/>
        </w:rPr>
        <w:t xml:space="preserve"> thoroughly before the mobility. Additional rows and columns can be added as needed. However, the </w:t>
      </w:r>
      <w:r w:rsidR="00D766D7">
        <w:rPr>
          <w:rFonts w:ascii="Calibri" w:hAnsi="Calibri" w:cs="Calibri"/>
          <w:color w:val="000000"/>
        </w:rPr>
        <w:t xml:space="preserve">tables </w:t>
      </w:r>
      <w:r w:rsidRPr="008A2E16">
        <w:rPr>
          <w:rFonts w:ascii="Calibri" w:hAnsi="Calibri" w:cs="Calibri"/>
          <w:color w:val="000000"/>
        </w:rPr>
        <w:t xml:space="preserve">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6BAF2CF"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w:t>
      </w:r>
      <w:r w:rsidR="00E41E91">
        <w:rPr>
          <w:rFonts w:ascii="Calibri" w:hAnsi="Calibri" w:cs="Calibri"/>
        </w:rPr>
        <w:t>dits will be included in Table C</w:t>
      </w:r>
      <w:r w:rsidRPr="008A2E16">
        <w:rPr>
          <w:rFonts w:ascii="Calibri" w:hAnsi="Calibri" w:cs="Calibri"/>
        </w:rPr>
        <w:t xml:space="preserve">, if relevant for the sending institution. </w:t>
      </w:r>
    </w:p>
    <w:p w14:paraId="7D01E3C9" w14:textId="4C8C8823" w:rsidR="00D766D7" w:rsidRDefault="00D766D7" w:rsidP="002C2B50">
      <w:pPr>
        <w:autoSpaceDE w:val="0"/>
        <w:autoSpaceDN w:val="0"/>
        <w:adjustRightInd w:val="0"/>
        <w:spacing w:after="0" w:line="240" w:lineRule="auto"/>
        <w:jc w:val="both"/>
        <w:rPr>
          <w:rFonts w:ascii="Calibri" w:hAnsi="Calibri" w:cs="Calibri"/>
        </w:rPr>
      </w:pPr>
    </w:p>
    <w:p w14:paraId="39BE1DFD" w14:textId="54B21468" w:rsidR="00D766D7" w:rsidRDefault="00D766D7" w:rsidP="002C2B50">
      <w:pPr>
        <w:autoSpaceDE w:val="0"/>
        <w:autoSpaceDN w:val="0"/>
        <w:adjustRightInd w:val="0"/>
        <w:spacing w:after="0" w:line="240" w:lineRule="auto"/>
        <w:jc w:val="both"/>
        <w:rPr>
          <w:rFonts w:ascii="Calibri" w:hAnsi="Calibri" w:cs="Calibri"/>
        </w:rPr>
      </w:pPr>
      <w:r w:rsidRPr="00D766D7">
        <w:rPr>
          <w:rFonts w:ascii="Calibri" w:hAnsi="Calibri" w:cs="Calibri"/>
        </w:rPr>
        <w:t>If the student has chosen to add a virtual component offered by the receiving institution to their study mobility that will award ECTS credits (or equivalent), Table B should also be included in the Learning Agreement. The purpose is to give the student the possibility to enhance further the learning outcomes of the mobility period abroad by complementing the physical component with online learning, training or teamwork. When relevant, Table B must include a title or description of the educational component in addition to a short description of the nature of the virtual component e.g. online course, online cultural preparation with other exchange students or online training with a teacher. In the same table, the sending institution will indicate how the ECTS credits (or equivalent) of the added virtual component will be recognised.</w:t>
      </w:r>
      <w:r>
        <w:rPr>
          <w:rFonts w:ascii="Calibri" w:hAnsi="Calibri" w:cs="Calibri"/>
        </w:rPr>
        <w:t xml:space="preserve"> If no virtual component is foreseen, Table B could be either kept blank or removed (</w:t>
      </w:r>
      <w:r w:rsidR="00772900">
        <w:rPr>
          <w:rFonts w:ascii="Calibri" w:hAnsi="Calibri" w:cs="Calibri"/>
        </w:rPr>
        <w:t xml:space="preserve">renaming of the tables will be needed).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5A032A" w14:textId="1393489B" w:rsidR="00F92902" w:rsidRPr="007D1F8E" w:rsidRDefault="008A2E16" w:rsidP="00F92902">
      <w:pPr>
        <w:autoSpaceDE w:val="0"/>
        <w:autoSpaceDN w:val="0"/>
        <w:adjustRightInd w:val="0"/>
        <w:spacing w:after="0" w:line="240" w:lineRule="auto"/>
        <w:jc w:val="both"/>
        <w:rPr>
          <w:rFonts w:ascii="Calibri" w:hAnsi="Calibri" w:cs="Calibri"/>
        </w:rPr>
      </w:pPr>
      <w:r w:rsidRPr="008A2E16">
        <w:rPr>
          <w:rFonts w:ascii="Calibri" w:hAnsi="Calibri" w:cs="Calibri"/>
        </w:rPr>
        <w:t>The Sending Instit</w:t>
      </w:r>
      <w:r w:rsidR="00E41E91">
        <w:rPr>
          <w:rFonts w:ascii="Calibri" w:hAnsi="Calibri" w:cs="Calibri"/>
        </w:rPr>
        <w:t>ution should indicate in Table C</w:t>
      </w:r>
      <w:r w:rsidRPr="008A2E16">
        <w:rPr>
          <w:rFonts w:ascii="Calibri" w:hAnsi="Calibri" w:cs="Calibri"/>
        </w:rPr>
        <w:t xml:space="preserve"> the group of educational components counting towards the student’s degree that would normally be completed at the Sending Institution and which will be replaced by the Study Programme at the Receiving Institution. The total number of ECTS cr</w:t>
      </w:r>
      <w:r w:rsidR="00E41E91">
        <w:rPr>
          <w:rFonts w:ascii="Calibri" w:hAnsi="Calibri" w:cs="Calibri"/>
        </w:rPr>
        <w:t>edits (or equivalent) in Table C</w:t>
      </w:r>
      <w:r w:rsidRPr="008A2E16">
        <w:rPr>
          <w:rFonts w:ascii="Calibri" w:hAnsi="Calibri" w:cs="Calibri"/>
        </w:rPr>
        <w:t xml:space="preserve"> should correspond to the total number of ECTS credits (or equivalent) contained in Table A</w:t>
      </w:r>
      <w:r w:rsidR="00772900">
        <w:rPr>
          <w:rFonts w:ascii="Calibri" w:hAnsi="Calibri" w:cs="Calibri"/>
        </w:rPr>
        <w:t xml:space="preserve"> and B</w:t>
      </w:r>
      <w:r w:rsidRPr="008A2E16">
        <w:rPr>
          <w:rFonts w:ascii="Calibri" w:hAnsi="Calibri" w:cs="Calibri"/>
        </w:rPr>
        <w:t>. Any exception to this rule should be clearly stated in an annex of the Learning Agreement and agreed by all parties. Example of justification for a discrepancy in the total number of ECTS credits (or equival</w:t>
      </w:r>
      <w:r w:rsidR="00E41E91">
        <w:rPr>
          <w:rFonts w:ascii="Calibri" w:hAnsi="Calibri" w:cs="Calibri"/>
        </w:rPr>
        <w:t>ent) between Table A</w:t>
      </w:r>
      <w:r w:rsidR="00772900">
        <w:rPr>
          <w:rFonts w:ascii="Calibri" w:hAnsi="Calibri" w:cs="Calibri"/>
        </w:rPr>
        <w:t>/B</w:t>
      </w:r>
      <w:r w:rsidR="00E41E91">
        <w:rPr>
          <w:rFonts w:ascii="Calibri" w:hAnsi="Calibri" w:cs="Calibri"/>
        </w:rPr>
        <w:t xml:space="preserve"> and Table C</w:t>
      </w:r>
      <w:r w:rsidRPr="008A2E16">
        <w:rPr>
          <w:rFonts w:ascii="Calibri" w:hAnsi="Calibri" w:cs="Calibri"/>
        </w:rPr>
        <w:t xml:space="preserve">: the student has already </w:t>
      </w:r>
      <w:r w:rsidRPr="008A2E16">
        <w:rPr>
          <w:rFonts w:ascii="Calibri" w:hAnsi="Calibri" w:cs="Calibri"/>
        </w:rPr>
        <w:lastRenderedPageBreak/>
        <w:t xml:space="preserve">accumulated the number of credits required for his/her degree and does not need some of the credits gained abroad.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D1AAF5E" w14:textId="1F2EB1D3" w:rsidR="00AB56F8" w:rsidRDefault="00AB56F8" w:rsidP="00772900"/>
    <w:p w14:paraId="7C4A054C" w14:textId="5D68A2CC"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1A8DFBB1" w14:textId="172647E0" w:rsidR="00565463" w:rsidRDefault="00772900" w:rsidP="00F17DA3">
      <w:pPr>
        <w:pStyle w:val="Default"/>
        <w:jc w:val="both"/>
        <w:rPr>
          <w:rFonts w:ascii="Calibri" w:hAnsi="Calibri" w:cs="Calibri"/>
          <w:bCs/>
          <w:sz w:val="22"/>
          <w:szCs w:val="22"/>
        </w:rPr>
      </w:pPr>
      <w:r>
        <w:rPr>
          <w:rFonts w:ascii="Calibri" w:hAnsi="Calibri" w:cs="Calibri"/>
          <w:bCs/>
          <w:sz w:val="22"/>
          <w:szCs w:val="22"/>
        </w:rPr>
        <w:t>The s</w:t>
      </w:r>
      <w:r w:rsidR="00565463" w:rsidRPr="00EF3AAF">
        <w:rPr>
          <w:rFonts w:ascii="Calibri" w:hAnsi="Calibri" w:cs="Calibri"/>
          <w:bCs/>
          <w:sz w:val="22"/>
          <w:szCs w:val="22"/>
        </w:rPr>
        <w:t xml:space="preserve">tudent must include all the educational components to be carried out at the Receiving Institution </w:t>
      </w:r>
      <w:r w:rsidRPr="00772900">
        <w:rPr>
          <w:rFonts w:ascii="Calibri" w:hAnsi="Calibri" w:cs="Calibri"/>
          <w:bCs/>
          <w:sz w:val="22"/>
          <w:szCs w:val="22"/>
        </w:rPr>
        <w:t xml:space="preserve">during their physical mobility (in Table A) or as virtual component of the mobility (in Table B) </w:t>
      </w:r>
      <w:r w:rsidR="00565463" w:rsidRPr="00EF3AAF">
        <w:rPr>
          <w:rFonts w:ascii="Calibri" w:hAnsi="Calibri" w:cs="Calibri"/>
          <w:bCs/>
          <w:sz w:val="22"/>
          <w:szCs w:val="22"/>
        </w:rPr>
        <w:t xml:space="preserve">i.e. information about the selected courses </w:t>
      </w:r>
      <w:r w:rsidR="00EF3AAF">
        <w:rPr>
          <w:rFonts w:ascii="Calibri" w:hAnsi="Calibri" w:cs="Calibri"/>
          <w:bCs/>
          <w:sz w:val="22"/>
          <w:szCs w:val="22"/>
        </w:rPr>
        <w:t xml:space="preserve">or modules </w:t>
      </w:r>
      <w:r w:rsidR="00565463" w:rsidRPr="00EF3AAF">
        <w:rPr>
          <w:rFonts w:ascii="Calibri" w:hAnsi="Calibri" w:cs="Calibri"/>
          <w:bCs/>
          <w:sz w:val="22"/>
          <w:szCs w:val="22"/>
        </w:rPr>
        <w:t>as in</w:t>
      </w:r>
      <w:r>
        <w:rPr>
          <w:rFonts w:ascii="Calibri" w:hAnsi="Calibri" w:cs="Calibri"/>
          <w:bCs/>
          <w:sz w:val="22"/>
          <w:szCs w:val="22"/>
        </w:rPr>
        <w:t xml:space="preserve">dicated in the course catalogue, </w:t>
      </w:r>
      <w:r w:rsidR="00EF3AAF">
        <w:rPr>
          <w:rFonts w:ascii="Calibri" w:hAnsi="Calibri" w:cs="Calibri"/>
          <w:bCs/>
          <w:sz w:val="22"/>
          <w:szCs w:val="22"/>
        </w:rPr>
        <w:t xml:space="preserve">laboratory or </w:t>
      </w:r>
      <w:r w:rsidR="00565463" w:rsidRPr="00EF3AAF">
        <w:rPr>
          <w:rFonts w:ascii="Calibri" w:hAnsi="Calibri" w:cs="Calibri"/>
          <w:bCs/>
          <w:sz w:val="22"/>
          <w:szCs w:val="22"/>
        </w:rPr>
        <w:t>thesis work</w:t>
      </w:r>
      <w:r>
        <w:rPr>
          <w:rFonts w:ascii="Calibri" w:hAnsi="Calibri" w:cs="Calibri"/>
          <w:bCs/>
          <w:sz w:val="22"/>
          <w:szCs w:val="22"/>
        </w:rPr>
        <w:t>, participation in webinars, etc</w:t>
      </w:r>
      <w:r w:rsidR="00565463" w:rsidRPr="00EF3AAF">
        <w:rPr>
          <w:rFonts w:ascii="Calibri" w:hAnsi="Calibri" w:cs="Calibri"/>
          <w:bCs/>
          <w:sz w:val="22"/>
          <w:szCs w:val="22"/>
        </w:rPr>
        <w:t xml:space="preserve">. </w:t>
      </w:r>
      <w:r w:rsidR="00EF3AAF" w:rsidRPr="00EF3AAF">
        <w:rPr>
          <w:rFonts w:ascii="Calibri" w:hAnsi="Calibri" w:cs="Calibri"/>
          <w:bCs/>
          <w:sz w:val="22"/>
          <w:szCs w:val="22"/>
        </w:rPr>
        <w:t>The group of components</w:t>
      </w:r>
      <w:r>
        <w:rPr>
          <w:rFonts w:ascii="Calibri" w:hAnsi="Calibri" w:cs="Calibri"/>
          <w:bCs/>
          <w:sz w:val="22"/>
          <w:szCs w:val="22"/>
        </w:rPr>
        <w:t xml:space="preserve"> can then be included in Table C</w:t>
      </w:r>
      <w:r w:rsidR="00EF3AAF" w:rsidRPr="00EF3AAF">
        <w:rPr>
          <w:rFonts w:ascii="Calibri" w:hAnsi="Calibri" w:cs="Calibri"/>
          <w:bCs/>
          <w:sz w:val="22"/>
          <w:szCs w:val="22"/>
        </w:rPr>
        <w:t xml:space="preserve"> as follows:</w:t>
      </w:r>
    </w:p>
    <w:p w14:paraId="32A010E7" w14:textId="77777777" w:rsidR="00597A08" w:rsidRPr="00F17DA3" w:rsidRDefault="00597A08" w:rsidP="00F17DA3">
      <w:pPr>
        <w:pStyle w:val="Default"/>
        <w:jc w:val="both"/>
        <w:rPr>
          <w:rFonts w:ascii="Calibri" w:hAnsi="Calibri" w:cs="Calibri"/>
          <w:bCs/>
          <w:sz w:val="22"/>
          <w:szCs w:val="22"/>
        </w:rPr>
      </w:pPr>
    </w:p>
    <w:tbl>
      <w:tblPr>
        <w:tblW w:w="10051" w:type="dxa"/>
        <w:tblInd w:w="-295" w:type="dxa"/>
        <w:tblLayout w:type="fixed"/>
        <w:tblLook w:val="04A0" w:firstRow="1" w:lastRow="0" w:firstColumn="1" w:lastColumn="0" w:noHBand="0" w:noVBand="1"/>
      </w:tblPr>
      <w:tblGrid>
        <w:gridCol w:w="1127"/>
        <w:gridCol w:w="3264"/>
        <w:gridCol w:w="1976"/>
        <w:gridCol w:w="2346"/>
        <w:gridCol w:w="1338"/>
      </w:tblGrid>
      <w:tr w:rsidR="00772900" w:rsidRPr="002A00C3" w14:paraId="3E5D3268" w14:textId="77777777" w:rsidTr="0023343E">
        <w:trPr>
          <w:trHeight w:val="33"/>
        </w:trPr>
        <w:tc>
          <w:tcPr>
            <w:tcW w:w="10051"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776E290D" w14:textId="77777777" w:rsidR="00772900"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5829BCCD"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43CDFA9"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p>
        </w:tc>
      </w:tr>
      <w:tr w:rsidR="00772900" w:rsidRPr="002A00C3" w14:paraId="743E3D18" w14:textId="77777777" w:rsidTr="00597A08">
        <w:trPr>
          <w:trHeight w:val="687"/>
        </w:trPr>
        <w:tc>
          <w:tcPr>
            <w:tcW w:w="112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639BB9"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4059B6D0"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6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C722A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7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E893963"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46"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16B40D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3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AA34295"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772900" w:rsidRPr="002A00C3" w14:paraId="7F121B05" w14:textId="77777777" w:rsidTr="00597A08">
        <w:trPr>
          <w:trHeight w:val="114"/>
        </w:trPr>
        <w:tc>
          <w:tcPr>
            <w:tcW w:w="1127" w:type="dxa"/>
            <w:tcBorders>
              <w:top w:val="nil"/>
              <w:left w:val="double" w:sz="4" w:space="0" w:color="auto"/>
              <w:bottom w:val="nil"/>
              <w:right w:val="single" w:sz="8" w:space="0" w:color="auto"/>
            </w:tcBorders>
            <w:shd w:val="clear" w:color="auto" w:fill="auto"/>
            <w:vAlign w:val="center"/>
            <w:hideMark/>
          </w:tcPr>
          <w:p w14:paraId="12BAC24C"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nil"/>
              <w:left w:val="nil"/>
              <w:bottom w:val="nil"/>
              <w:right w:val="single" w:sz="8" w:space="0" w:color="auto"/>
            </w:tcBorders>
            <w:shd w:val="clear" w:color="auto" w:fill="auto"/>
            <w:vAlign w:val="center"/>
            <w:hideMark/>
          </w:tcPr>
          <w:p w14:paraId="21BCABC3" w14:textId="43C4D6C1"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5E161C9F" w14:textId="5EC9D1F0"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154F63A" w14:textId="1A8E2ACC"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Pr="002A00C3">
              <w:rPr>
                <w:rFonts w:ascii="Calibri" w:eastAsia="Times New Roman" w:hAnsi="Calibri" w:cs="Times New Roman"/>
                <w:b/>
                <w:bCs/>
                <w:color w:val="000000"/>
                <w:sz w:val="16"/>
                <w:szCs w:val="16"/>
                <w:lang w:eastAsia="en-GB"/>
              </w:rPr>
              <w:t>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0376C938" w14:textId="6CD61CCF"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4841431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347333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23B873FD" w14:textId="77777777" w:rsidTr="00597A08">
        <w:trPr>
          <w:trHeight w:val="211"/>
        </w:trPr>
        <w:tc>
          <w:tcPr>
            <w:tcW w:w="112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74A37910"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single" w:sz="8" w:space="0" w:color="auto"/>
              <w:left w:val="nil"/>
              <w:bottom w:val="single" w:sz="8" w:space="0" w:color="auto"/>
              <w:right w:val="single" w:sz="8" w:space="0" w:color="auto"/>
            </w:tcBorders>
            <w:shd w:val="clear" w:color="auto" w:fill="auto"/>
            <w:vAlign w:val="center"/>
            <w:hideMark/>
          </w:tcPr>
          <w:p w14:paraId="3E684A88" w14:textId="0C6F4383"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20016A7" w14:textId="254AB05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871D6F1" w14:textId="16335CA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r>
              <w:rPr>
                <w:rFonts w:ascii="Calibri" w:eastAsia="Times New Roman" w:hAnsi="Calibri" w:cs="Times New Roman"/>
                <w:bCs/>
                <w:color w:val="000000"/>
                <w:sz w:val="16"/>
                <w:szCs w:val="16"/>
                <w:lang w:eastAsia="en-GB"/>
              </w:rPr>
              <w:t>10</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24F9FF5" w14:textId="130EAEB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122023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327713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64895B01"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hideMark/>
          </w:tcPr>
          <w:p w14:paraId="76467FA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single" w:sz="8" w:space="0" w:color="auto"/>
              <w:right w:val="single" w:sz="8" w:space="0" w:color="auto"/>
            </w:tcBorders>
            <w:shd w:val="clear" w:color="auto" w:fill="auto"/>
            <w:vAlign w:val="center"/>
            <w:hideMark/>
          </w:tcPr>
          <w:p w14:paraId="099C4C91" w14:textId="121D4306"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C3205F5" w14:textId="4831012E"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361B5315" w14:textId="7BBB764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8 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514F269E" w14:textId="73B73A9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4885539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517532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7C6CB72B"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04752CE1"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vAlign w:val="center"/>
          </w:tcPr>
          <w:p w14:paraId="1E475C5A" w14:textId="61B481BD"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976" w:type="dxa"/>
            <w:tcBorders>
              <w:top w:val="single" w:sz="8" w:space="0" w:color="auto"/>
              <w:left w:val="nil"/>
              <w:bottom w:val="single" w:sz="8" w:space="0" w:color="auto"/>
              <w:right w:val="single" w:sz="8" w:space="0" w:color="000000"/>
            </w:tcBorders>
            <w:shd w:val="clear" w:color="auto" w:fill="auto"/>
            <w:vAlign w:val="center"/>
          </w:tcPr>
          <w:p w14:paraId="32AEAD68" w14:textId="64E21FAD"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tcPr>
          <w:p w14:paraId="723F37E9" w14:textId="2458ADAC" w:rsidR="00772900" w:rsidRPr="002A00C3" w:rsidRDefault="00772900"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 xml:space="preserve">10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7E50CA45" w14:textId="6730A281"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1830760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766066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1E09636" w14:textId="77777777" w:rsidTr="00597A08">
        <w:trPr>
          <w:trHeight w:val="208"/>
        </w:trPr>
        <w:tc>
          <w:tcPr>
            <w:tcW w:w="1127" w:type="dxa"/>
            <w:tcBorders>
              <w:top w:val="nil"/>
              <w:left w:val="double" w:sz="4" w:space="0" w:color="auto"/>
              <w:bottom w:val="single" w:sz="8" w:space="0" w:color="auto"/>
              <w:right w:val="single" w:sz="8" w:space="0" w:color="auto"/>
            </w:tcBorders>
            <w:shd w:val="clear" w:color="auto" w:fill="auto"/>
            <w:vAlign w:val="center"/>
          </w:tcPr>
          <w:p w14:paraId="71BBE16E"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4FC4400E" w14:textId="3B4FBF22" w:rsidR="00772900" w:rsidRPr="002A00C3" w:rsidRDefault="00772900" w:rsidP="008624FF">
            <w:pPr>
              <w:spacing w:after="0" w:line="240" w:lineRule="auto"/>
              <w:rPr>
                <w:rFonts w:ascii="Calibri" w:eastAsia="Times New Roman" w:hAnsi="Calibri" w:cs="Times New Roman"/>
                <w:i/>
                <w:iCs/>
                <w:color w:val="000000"/>
                <w:sz w:val="16"/>
                <w:szCs w:val="16"/>
                <w:lang w:eastAsia="en-GB"/>
              </w:rPr>
            </w:pPr>
            <w:r w:rsidRPr="0078202D">
              <w:rPr>
                <w:rFonts w:cs="Calibri"/>
                <w:sz w:val="16"/>
                <w:szCs w:val="16"/>
              </w:rPr>
              <w:t>Blended Intensive Programme X</w:t>
            </w:r>
            <w:r w:rsidR="008624FF">
              <w:rPr>
                <w:rFonts w:cs="Calibri"/>
                <w:sz w:val="16"/>
                <w:szCs w:val="16"/>
              </w:rPr>
              <w:t>:</w:t>
            </w:r>
            <w:r>
              <w:rPr>
                <w:rFonts w:cs="Calibri"/>
                <w:sz w:val="16"/>
                <w:szCs w:val="16"/>
              </w:rPr>
              <w:t xml:space="preserve"> online workshop and presentation</w:t>
            </w:r>
          </w:p>
        </w:tc>
        <w:tc>
          <w:tcPr>
            <w:tcW w:w="1976" w:type="dxa"/>
            <w:tcBorders>
              <w:top w:val="single" w:sz="8" w:space="0" w:color="auto"/>
              <w:left w:val="nil"/>
              <w:bottom w:val="single" w:sz="8" w:space="0" w:color="auto"/>
              <w:right w:val="single" w:sz="8" w:space="0" w:color="000000"/>
            </w:tcBorders>
            <w:shd w:val="clear" w:color="auto" w:fill="auto"/>
          </w:tcPr>
          <w:p w14:paraId="36DA461C" w14:textId="483C8E2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6EC05EA9" w14:textId="6D23E70B"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color w:val="000000"/>
                <w:sz w:val="16"/>
                <w:szCs w:val="16"/>
                <w:lang w:eastAsia="en-GB"/>
              </w:rPr>
              <w:t>5</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4FC65F7" w14:textId="42ED4AF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1550719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046DF07A"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5FEF7B85"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0162785C" w14:textId="574EEED0"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Doctoral work</w:t>
            </w:r>
            <w:r w:rsidR="008624FF">
              <w:rPr>
                <w:rFonts w:ascii="Calibri" w:eastAsia="Times New Roman" w:hAnsi="Calibri" w:cs="Times New Roman"/>
                <w:bCs/>
                <w:color w:val="000000"/>
                <w:sz w:val="16"/>
                <w:szCs w:val="16"/>
                <w:lang w:eastAsia="en-GB"/>
              </w:rPr>
              <w:t>:</w:t>
            </w:r>
            <w:r>
              <w:rPr>
                <w:rFonts w:ascii="Calibri" w:eastAsia="Times New Roman" w:hAnsi="Calibri" w:cs="Times New Roman"/>
                <w:bCs/>
                <w:color w:val="000000"/>
                <w:sz w:val="16"/>
                <w:szCs w:val="16"/>
                <w:lang w:eastAsia="en-GB"/>
              </w:rPr>
              <w:t xml:space="preserve"> participation in webinar</w:t>
            </w:r>
          </w:p>
        </w:tc>
        <w:tc>
          <w:tcPr>
            <w:tcW w:w="1976" w:type="dxa"/>
            <w:tcBorders>
              <w:top w:val="single" w:sz="8" w:space="0" w:color="auto"/>
              <w:left w:val="nil"/>
              <w:bottom w:val="single" w:sz="8" w:space="0" w:color="auto"/>
              <w:right w:val="single" w:sz="8" w:space="0" w:color="000000"/>
            </w:tcBorders>
            <w:shd w:val="clear" w:color="auto" w:fill="auto"/>
          </w:tcPr>
          <w:p w14:paraId="39B00922" w14:textId="5626BC98"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315B4188" w14:textId="38F2357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14EDDE18" w14:textId="359DABA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98451388"/>
                <w14:checkbox>
                  <w14:checked w14:val="1"/>
                  <w14:checkedState w14:val="2612" w14:font="MS Gothic"/>
                  <w14:uncheckedState w14:val="2610" w14:font="MS Gothic"/>
                </w14:checkbox>
              </w:sdtPr>
              <w:sdtEndPr/>
              <w:sdtContent>
                <w:r w:rsidR="00F17DA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E7E77B3" w14:textId="77777777" w:rsidTr="00597A08">
        <w:trPr>
          <w:trHeight w:val="201"/>
        </w:trPr>
        <w:tc>
          <w:tcPr>
            <w:tcW w:w="1127" w:type="dxa"/>
            <w:tcBorders>
              <w:top w:val="nil"/>
              <w:left w:val="double" w:sz="4" w:space="0" w:color="auto"/>
              <w:bottom w:val="double" w:sz="6" w:space="0" w:color="auto"/>
              <w:right w:val="single" w:sz="8" w:space="0" w:color="auto"/>
            </w:tcBorders>
            <w:shd w:val="clear" w:color="auto" w:fill="auto"/>
            <w:vAlign w:val="center"/>
            <w:hideMark/>
          </w:tcPr>
          <w:p w14:paraId="014CD027"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double" w:sz="6" w:space="0" w:color="auto"/>
              <w:right w:val="single" w:sz="8" w:space="0" w:color="auto"/>
            </w:tcBorders>
            <w:shd w:val="clear" w:color="auto" w:fill="auto"/>
            <w:vAlign w:val="center"/>
            <w:hideMark/>
          </w:tcPr>
          <w:p w14:paraId="7ADA0A6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76" w:type="dxa"/>
            <w:tcBorders>
              <w:top w:val="single" w:sz="8" w:space="0" w:color="auto"/>
              <w:left w:val="nil"/>
              <w:bottom w:val="double" w:sz="6" w:space="0" w:color="auto"/>
              <w:right w:val="single" w:sz="8" w:space="0" w:color="000000"/>
            </w:tcBorders>
            <w:shd w:val="clear" w:color="auto" w:fill="auto"/>
            <w:vAlign w:val="center"/>
            <w:hideMark/>
          </w:tcPr>
          <w:p w14:paraId="19CE385D" w14:textId="77777777"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46" w:type="dxa"/>
            <w:tcBorders>
              <w:top w:val="single" w:sz="8" w:space="0" w:color="auto"/>
              <w:left w:val="nil"/>
              <w:bottom w:val="double" w:sz="6" w:space="0" w:color="auto"/>
              <w:right w:val="single" w:sz="4" w:space="0" w:color="auto"/>
            </w:tcBorders>
            <w:shd w:val="clear" w:color="auto" w:fill="auto"/>
            <w:vAlign w:val="bottom"/>
            <w:hideMark/>
          </w:tcPr>
          <w:p w14:paraId="1754FB1D" w14:textId="7298988F" w:rsidR="00772900" w:rsidRPr="002A00C3" w:rsidRDefault="00F17DA3"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39</w:t>
            </w:r>
          </w:p>
        </w:tc>
        <w:tc>
          <w:tcPr>
            <w:tcW w:w="1338" w:type="dxa"/>
            <w:tcBorders>
              <w:top w:val="single" w:sz="8" w:space="0" w:color="auto"/>
              <w:left w:val="single" w:sz="4" w:space="0" w:color="auto"/>
              <w:bottom w:val="double" w:sz="6" w:space="0" w:color="auto"/>
              <w:right w:val="double" w:sz="6" w:space="0" w:color="000000"/>
            </w:tcBorders>
            <w:shd w:val="clear" w:color="auto" w:fill="auto"/>
            <w:vAlign w:val="bottom"/>
          </w:tcPr>
          <w:p w14:paraId="32324B46"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p>
        </w:tc>
      </w:tr>
      <w:tr w:rsidR="00772900" w:rsidRPr="002A00C3" w14:paraId="226BB6A9" w14:textId="77777777" w:rsidTr="0023343E">
        <w:trPr>
          <w:trHeight w:val="201"/>
        </w:trPr>
        <w:tc>
          <w:tcPr>
            <w:tcW w:w="10051" w:type="dxa"/>
            <w:gridSpan w:val="5"/>
            <w:tcBorders>
              <w:top w:val="nil"/>
              <w:left w:val="double" w:sz="4" w:space="0" w:color="auto"/>
              <w:bottom w:val="double" w:sz="4" w:space="0" w:color="auto"/>
              <w:right w:val="double" w:sz="6" w:space="0" w:color="000000"/>
            </w:tcBorders>
            <w:shd w:val="clear" w:color="auto" w:fill="auto"/>
            <w:vAlign w:val="center"/>
          </w:tcPr>
          <w:p w14:paraId="64C2DB80"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33603A46" w14:textId="77777777" w:rsidR="00F17DA3" w:rsidRDefault="00F17DA3" w:rsidP="00EF3AAF">
      <w:pPr>
        <w:jc w:val="both"/>
      </w:pPr>
    </w:p>
    <w:p w14:paraId="4D228A62" w14:textId="7975B2FB" w:rsidR="009A4079" w:rsidRDefault="0023343E" w:rsidP="00EF3AAF">
      <w:pPr>
        <w:jc w:val="both"/>
      </w:pPr>
      <w:r>
        <w:t>In table C</w:t>
      </w:r>
      <w:r w:rsidR="00EF3AAF">
        <w:t xml:space="preserve">, the check box “Yes” for Automatic Recognition </w:t>
      </w:r>
      <w:r w:rsidR="00F17DA3">
        <w:t>means that</w:t>
      </w:r>
      <w:r w:rsidR="00EF3AAF">
        <w:t xml:space="preserve"> the sending institutions confirms that a</w:t>
      </w:r>
      <w:r w:rsidR="00EF3AAF" w:rsidRPr="00EF3AAF">
        <w:t>ll credits gained abroad</w:t>
      </w:r>
      <w:r w:rsidR="009A4079">
        <w:t xml:space="preserve"> </w:t>
      </w:r>
      <w:r w:rsidR="00EF3AAF" w:rsidRPr="00EF3AAF">
        <w:t xml:space="preserve">– as agreed in the Learning Agreement and confirmed by the Transcript of Records – will be transferred without delay and counted towards the students' degree without any additional work or assessment of the student. </w:t>
      </w:r>
      <w:r w:rsidR="00F17DA3">
        <w:t>The</w:t>
      </w:r>
      <w:r w:rsidR="00EF3AAF" w:rsidRPr="00EF3AAF">
        <w:t xml:space="preserve"> “No” check box </w:t>
      </w:r>
      <w:r w:rsidR="00F17DA3">
        <w:t xml:space="preserve">means that </w:t>
      </w:r>
      <w:r w:rsidR="00EF3AAF" w:rsidRPr="00EF3AAF">
        <w:t xml:space="preserve">a clear justification needs to be provided and an indication on what other type of formal recognition will be applied e.g. registration in the students’ </w:t>
      </w:r>
      <w:hyperlink r:id="rId11" w:history="1">
        <w:r w:rsidR="00EF3AAF" w:rsidRPr="00EF3AAF">
          <w:t>diploma supplement</w:t>
        </w:r>
      </w:hyperlink>
      <w:r w:rsidR="00EF3AAF" w:rsidRPr="00EF3AAF">
        <w:t xml:space="preserve"> or </w:t>
      </w:r>
      <w:hyperlink r:id="rId12" w:history="1">
        <w:r w:rsidR="00EF3AAF" w:rsidRPr="00EF3AAF">
          <w:t>Europass</w:t>
        </w:r>
      </w:hyperlink>
      <w:r w:rsidR="00EF3AAF" w:rsidRPr="00EF3AAF">
        <w:t xml:space="preserve"> Mobility Document.</w:t>
      </w:r>
    </w:p>
    <w:p w14:paraId="1001E4E6" w14:textId="7B6172D4" w:rsidR="009A4079" w:rsidRDefault="009A4079" w:rsidP="00EF3AAF">
      <w:pPr>
        <w:jc w:val="both"/>
      </w:pPr>
      <w:r>
        <w:t xml:space="preserve">The European Commission encourages institutions also to embed </w:t>
      </w:r>
      <w:r>
        <w:rPr>
          <w:b/>
          <w:bCs/>
        </w:rPr>
        <w:t>mobility windows</w:t>
      </w:r>
      <w:r>
        <w:rPr>
          <w:sz w:val="14"/>
          <w:szCs w:val="14"/>
        </w:rPr>
        <w:t xml:space="preserve"> </w:t>
      </w:r>
      <w:r>
        <w:t>in their curricula. Where all credits in Table A</w:t>
      </w:r>
      <w:r w:rsidR="00F17DA3">
        <w:t xml:space="preserve"> and B</w:t>
      </w:r>
      <w:r>
        <w:t xml:space="preserve"> are automatically recognised as forming part of the programme at the Sending Institution, typically in the case of </w:t>
      </w:r>
      <w:r>
        <w:rPr>
          <w:b/>
          <w:bCs/>
        </w:rPr>
        <w:t>mobility windows</w:t>
      </w:r>
      <w:r w:rsidR="00F17DA3">
        <w:t>, Table C</w:t>
      </w:r>
      <w:r>
        <w:t xml:space="preserve"> is </w:t>
      </w:r>
      <w:r>
        <w:rPr>
          <w:b/>
          <w:bCs/>
        </w:rPr>
        <w:t xml:space="preserve">simplified </w:t>
      </w:r>
      <w:r>
        <w:t>and reduced to one single line, as described below:</w:t>
      </w:r>
    </w:p>
    <w:tbl>
      <w:tblPr>
        <w:tblW w:w="9908" w:type="dxa"/>
        <w:tblInd w:w="-295" w:type="dxa"/>
        <w:tblLayout w:type="fixed"/>
        <w:tblLook w:val="04A0" w:firstRow="1" w:lastRow="0" w:firstColumn="1" w:lastColumn="0" w:noHBand="0" w:noVBand="1"/>
      </w:tblPr>
      <w:tblGrid>
        <w:gridCol w:w="1111"/>
        <w:gridCol w:w="3218"/>
        <w:gridCol w:w="1948"/>
        <w:gridCol w:w="2312"/>
        <w:gridCol w:w="1319"/>
      </w:tblGrid>
      <w:tr w:rsidR="00F17DA3" w:rsidRPr="002A00C3" w14:paraId="35CF3E07" w14:textId="77777777" w:rsidTr="00F17DA3">
        <w:trPr>
          <w:trHeight w:val="53"/>
        </w:trPr>
        <w:tc>
          <w:tcPr>
            <w:tcW w:w="9908"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632862B" w14:textId="77777777" w:rsidR="00F17DA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3B5200A7"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3EFE91F"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p>
        </w:tc>
      </w:tr>
      <w:tr w:rsidR="00F17DA3" w:rsidRPr="002A00C3" w14:paraId="60DA8156" w14:textId="77777777" w:rsidTr="00F17DA3">
        <w:trPr>
          <w:trHeight w:val="1109"/>
        </w:trPr>
        <w:tc>
          <w:tcPr>
            <w:tcW w:w="111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A8B5E5E"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7FB0357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FFA64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4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5B9A53BF"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12"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A8BA672"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19"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6A7D3801"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F17DA3" w:rsidRPr="002A00C3" w14:paraId="3F53FA1F" w14:textId="77777777" w:rsidTr="00F17DA3">
        <w:trPr>
          <w:trHeight w:val="184"/>
        </w:trPr>
        <w:tc>
          <w:tcPr>
            <w:tcW w:w="1111" w:type="dxa"/>
            <w:tcBorders>
              <w:top w:val="nil"/>
              <w:left w:val="double" w:sz="4" w:space="0" w:color="auto"/>
              <w:bottom w:val="nil"/>
              <w:right w:val="single" w:sz="8" w:space="0" w:color="auto"/>
            </w:tcBorders>
            <w:shd w:val="clear" w:color="auto" w:fill="auto"/>
            <w:vAlign w:val="center"/>
            <w:hideMark/>
          </w:tcPr>
          <w:p w14:paraId="39A0AD90" w14:textId="77777777" w:rsidR="00F17DA3" w:rsidRPr="002A00C3" w:rsidRDefault="00F17DA3" w:rsidP="00F17DA3">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18" w:type="dxa"/>
            <w:tcBorders>
              <w:top w:val="nil"/>
              <w:left w:val="nil"/>
              <w:bottom w:val="nil"/>
              <w:right w:val="single" w:sz="8" w:space="0" w:color="auto"/>
            </w:tcBorders>
            <w:shd w:val="clear" w:color="auto" w:fill="auto"/>
            <w:vAlign w:val="center"/>
            <w:hideMark/>
          </w:tcPr>
          <w:p w14:paraId="642F47AD" w14:textId="4DAD84A1"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948" w:type="dxa"/>
            <w:tcBorders>
              <w:top w:val="single" w:sz="8" w:space="0" w:color="auto"/>
              <w:left w:val="nil"/>
              <w:bottom w:val="single" w:sz="8" w:space="0" w:color="auto"/>
              <w:right w:val="single" w:sz="8" w:space="0" w:color="000000"/>
            </w:tcBorders>
            <w:shd w:val="clear" w:color="auto" w:fill="auto"/>
            <w:vAlign w:val="center"/>
            <w:hideMark/>
          </w:tcPr>
          <w:p w14:paraId="04DD93F0" w14:textId="0A55F712"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12" w:type="dxa"/>
            <w:tcBorders>
              <w:top w:val="single" w:sz="8" w:space="0" w:color="auto"/>
              <w:left w:val="nil"/>
              <w:bottom w:val="single" w:sz="8" w:space="0" w:color="auto"/>
              <w:right w:val="single" w:sz="4" w:space="0" w:color="auto"/>
            </w:tcBorders>
            <w:shd w:val="clear" w:color="auto" w:fill="auto"/>
            <w:vAlign w:val="bottom"/>
            <w:hideMark/>
          </w:tcPr>
          <w:p w14:paraId="43811ABB" w14:textId="150B3A7E"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319" w:type="dxa"/>
            <w:tcBorders>
              <w:top w:val="single" w:sz="8" w:space="0" w:color="auto"/>
              <w:left w:val="single" w:sz="4" w:space="0" w:color="auto"/>
              <w:bottom w:val="single" w:sz="8" w:space="0" w:color="auto"/>
              <w:right w:val="double" w:sz="6" w:space="0" w:color="000000"/>
            </w:tcBorders>
            <w:shd w:val="clear" w:color="auto" w:fill="auto"/>
            <w:vAlign w:val="bottom"/>
          </w:tcPr>
          <w:p w14:paraId="4AEB48C8" w14:textId="64CEF798"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F17DA3" w:rsidRPr="002A00C3" w14:paraId="4C0E8217" w14:textId="77777777" w:rsidTr="00F17DA3">
        <w:trPr>
          <w:trHeight w:val="324"/>
        </w:trPr>
        <w:tc>
          <w:tcPr>
            <w:tcW w:w="1111" w:type="dxa"/>
            <w:tcBorders>
              <w:top w:val="nil"/>
              <w:left w:val="double" w:sz="4" w:space="0" w:color="auto"/>
              <w:bottom w:val="double" w:sz="6" w:space="0" w:color="auto"/>
              <w:right w:val="single" w:sz="8" w:space="0" w:color="auto"/>
            </w:tcBorders>
            <w:shd w:val="clear" w:color="auto" w:fill="auto"/>
            <w:vAlign w:val="center"/>
            <w:hideMark/>
          </w:tcPr>
          <w:p w14:paraId="45B94E4E"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18" w:type="dxa"/>
            <w:tcBorders>
              <w:top w:val="nil"/>
              <w:left w:val="nil"/>
              <w:bottom w:val="double" w:sz="6" w:space="0" w:color="auto"/>
              <w:right w:val="single" w:sz="8" w:space="0" w:color="auto"/>
            </w:tcBorders>
            <w:shd w:val="clear" w:color="auto" w:fill="auto"/>
            <w:vAlign w:val="center"/>
            <w:hideMark/>
          </w:tcPr>
          <w:p w14:paraId="70FDCEDD"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48" w:type="dxa"/>
            <w:tcBorders>
              <w:top w:val="single" w:sz="8" w:space="0" w:color="auto"/>
              <w:left w:val="nil"/>
              <w:bottom w:val="double" w:sz="6" w:space="0" w:color="auto"/>
              <w:right w:val="single" w:sz="8" w:space="0" w:color="000000"/>
            </w:tcBorders>
            <w:shd w:val="clear" w:color="auto" w:fill="auto"/>
            <w:vAlign w:val="center"/>
            <w:hideMark/>
          </w:tcPr>
          <w:p w14:paraId="53F5EDE5" w14:textId="77777777"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12" w:type="dxa"/>
            <w:tcBorders>
              <w:top w:val="single" w:sz="8" w:space="0" w:color="auto"/>
              <w:left w:val="nil"/>
              <w:bottom w:val="double" w:sz="6" w:space="0" w:color="auto"/>
              <w:right w:val="single" w:sz="4" w:space="0" w:color="auto"/>
            </w:tcBorders>
            <w:shd w:val="clear" w:color="auto" w:fill="auto"/>
            <w:vAlign w:val="bottom"/>
            <w:hideMark/>
          </w:tcPr>
          <w:p w14:paraId="1CB43C8A" w14:textId="2C9431F3"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30</w:t>
            </w:r>
          </w:p>
        </w:tc>
        <w:tc>
          <w:tcPr>
            <w:tcW w:w="1319" w:type="dxa"/>
            <w:tcBorders>
              <w:top w:val="single" w:sz="8" w:space="0" w:color="auto"/>
              <w:left w:val="single" w:sz="4" w:space="0" w:color="auto"/>
              <w:bottom w:val="double" w:sz="6" w:space="0" w:color="auto"/>
              <w:right w:val="double" w:sz="6" w:space="0" w:color="000000"/>
            </w:tcBorders>
            <w:shd w:val="clear" w:color="auto" w:fill="auto"/>
            <w:vAlign w:val="bottom"/>
          </w:tcPr>
          <w:p w14:paraId="49834583"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p>
        </w:tc>
      </w:tr>
      <w:tr w:rsidR="00F17DA3" w:rsidRPr="002A00C3" w14:paraId="450AF054" w14:textId="77777777" w:rsidTr="00F17DA3">
        <w:trPr>
          <w:trHeight w:val="324"/>
        </w:trPr>
        <w:tc>
          <w:tcPr>
            <w:tcW w:w="9908" w:type="dxa"/>
            <w:gridSpan w:val="5"/>
            <w:tcBorders>
              <w:top w:val="nil"/>
              <w:left w:val="double" w:sz="4" w:space="0" w:color="auto"/>
              <w:bottom w:val="double" w:sz="4" w:space="0" w:color="auto"/>
              <w:right w:val="double" w:sz="6" w:space="0" w:color="000000"/>
            </w:tcBorders>
            <w:shd w:val="clear" w:color="auto" w:fill="auto"/>
            <w:vAlign w:val="center"/>
          </w:tcPr>
          <w:p w14:paraId="63A17B7A"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19D4E55A" w14:textId="1CCDF5BA" w:rsidR="009A4079" w:rsidRDefault="009A4079" w:rsidP="00EF3AAF">
      <w:pPr>
        <w:jc w:val="both"/>
      </w:pPr>
    </w:p>
    <w:p w14:paraId="6BA97DFD" w14:textId="0BEE5515" w:rsidR="007A3D02" w:rsidRDefault="005B2B7D" w:rsidP="00EF3AAF">
      <w:pPr>
        <w:jc w:val="both"/>
      </w:pPr>
      <w:r>
        <w:t xml:space="preserve">If an educational component covers both physical and virtual periods of the mobility, </w:t>
      </w:r>
      <w:r w:rsidR="000A2F67">
        <w:t xml:space="preserve">its description might differ and therefore be inserted separately in Tables A and B. However, each title should remain the same and </w:t>
      </w:r>
      <w:r>
        <w:t xml:space="preserve">the ECTS to be awarded should be inserted only once either in Table A or B. </w:t>
      </w: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3A9EF01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45CA23CC" w14:textId="77777777" w:rsidR="007D36C0" w:rsidRDefault="007D36C0" w:rsidP="005A398F">
      <w:pPr>
        <w:jc w:val="both"/>
        <w:rPr>
          <w:rFonts w:ascii="Calibri" w:hAnsi="Calibri" w:cs="Calibri"/>
          <w:color w:val="000000" w:themeColor="text1"/>
        </w:rPr>
      </w:pPr>
    </w:p>
    <w:p w14:paraId="7810BD3B" w14:textId="76CC29FD"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1737FBB5"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016DF326" w:rsidR="005A398F" w:rsidRDefault="0016103E" w:rsidP="00B4195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All parties must</w:t>
      </w:r>
      <w:r w:rsidR="00B41959">
        <w:rPr>
          <w:rFonts w:ascii="Calibri" w:hAnsi="Calibri" w:cs="Calibri"/>
          <w:color w:val="000000"/>
        </w:rPr>
        <w:t xml:space="preserve"> </w:t>
      </w:r>
      <w:r w:rsidR="005A398F" w:rsidRPr="005A398F">
        <w:rPr>
          <w:rFonts w:ascii="Calibri" w:hAnsi="Calibri" w:cs="Calibri"/>
          <w:color w:val="000000"/>
        </w:rPr>
        <w:t xml:space="preserve">sign the Learning Agreement before the start of the mobility. </w:t>
      </w:r>
      <w:r w:rsidRPr="0016103E">
        <w:rPr>
          <w:rFonts w:ascii="Calibri" w:hAnsi="Calibri" w:cs="Calibri"/>
          <w:color w:val="000000"/>
        </w:rPr>
        <w:t>It is not compulsory to circulate papers with original signatures; scanned copies of signatures or digital signatures may be accepted, depending on the national legislation or institutional regulations.</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72F7C2CA" w:rsidR="000A7E3E" w:rsidRDefault="007D1F8E" w:rsidP="3A844502">
      <w:pPr>
        <w:autoSpaceDE w:val="0"/>
        <w:autoSpaceDN w:val="0"/>
        <w:adjustRightInd w:val="0"/>
        <w:spacing w:after="0" w:line="240" w:lineRule="auto"/>
        <w:jc w:val="center"/>
        <w:rPr>
          <w:rFonts w:ascii="Verdana" w:eastAsia="Times New Roman" w:hAnsi="Verdana" w:cs="Arial"/>
          <w:b/>
          <w:bCs/>
          <w:color w:val="002060"/>
          <w:sz w:val="24"/>
          <w:szCs w:val="24"/>
        </w:rPr>
      </w:pPr>
      <w:r>
        <w:rPr>
          <w:rFonts w:ascii="Verdana" w:eastAsia="Times New Roman" w:hAnsi="Verdana" w:cs="Arial"/>
          <w:b/>
          <w:bCs/>
          <w:color w:val="002060"/>
          <w:sz w:val="24"/>
          <w:szCs w:val="24"/>
        </w:rPr>
        <w:t>During 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279BB5CF"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r w:rsidR="007D36C0">
        <w:rPr>
          <w:rFonts w:ascii="Calibri" w:hAnsi="Calibri" w:cs="Calibri"/>
          <w:b/>
          <w:bCs/>
          <w:color w:val="000000"/>
          <w:u w:val="single"/>
        </w:rPr>
        <w:t>(Table A2, B2 and C2)</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5B84CBA4" w:rsidR="000A7E3E" w:rsidRDefault="0016103E" w:rsidP="000A7E3E">
      <w:pPr>
        <w:autoSpaceDE w:val="0"/>
        <w:autoSpaceDN w:val="0"/>
        <w:adjustRightInd w:val="0"/>
        <w:spacing w:after="0" w:line="240" w:lineRule="auto"/>
        <w:jc w:val="both"/>
        <w:rPr>
          <w:rFonts w:ascii="Calibri" w:hAnsi="Calibri" w:cs="Calibri"/>
          <w:color w:val="000000" w:themeColor="text1"/>
        </w:rPr>
      </w:pPr>
      <w:r>
        <w:rPr>
          <w:rFonts w:ascii="Calibri" w:hAnsi="Calibri" w:cs="Calibri"/>
          <w:color w:val="000000" w:themeColor="text1"/>
        </w:rPr>
        <w:t>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w:t>
      </w:r>
      <w:r w:rsidR="000A7E3E" w:rsidRPr="3E859DBA">
        <w:rPr>
          <w:rFonts w:ascii="Calibri" w:hAnsi="Calibri" w:cs="Calibri"/>
          <w:color w:val="000000" w:themeColor="text1"/>
        </w:rPr>
        <w:lastRenderedPageBreak/>
        <w:t xml:space="preserve">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10853CFB" w14:textId="628119F6" w:rsidR="00374232" w:rsidRDefault="00374232" w:rsidP="000A7E3E">
      <w:pPr>
        <w:autoSpaceDE w:val="0"/>
        <w:autoSpaceDN w:val="0"/>
        <w:adjustRightInd w:val="0"/>
        <w:spacing w:after="0" w:line="240" w:lineRule="auto"/>
        <w:jc w:val="both"/>
        <w:rPr>
          <w:rFonts w:ascii="Calibri" w:hAnsi="Calibri" w:cs="Calibri"/>
          <w:color w:val="000000" w:themeColor="text1"/>
        </w:rPr>
      </w:pPr>
    </w:p>
    <w:p w14:paraId="0DCDD5BA" w14:textId="51466A63" w:rsidR="00374232" w:rsidRDefault="00374232" w:rsidP="00374232">
      <w:pPr>
        <w:autoSpaceDE w:val="0"/>
        <w:autoSpaceDN w:val="0"/>
        <w:adjustRightInd w:val="0"/>
        <w:spacing w:after="0" w:line="240" w:lineRule="auto"/>
        <w:rPr>
          <w:rFonts w:ascii="Calibri" w:hAnsi="Calibri" w:cs="Calibri"/>
          <w:color w:val="000000"/>
        </w:rPr>
      </w:pPr>
      <w:r w:rsidRPr="00374232">
        <w:rPr>
          <w:rFonts w:ascii="Calibri" w:hAnsi="Calibri" w:cs="Calibri"/>
          <w:color w:val="000000"/>
        </w:rPr>
        <w:t>In case of changes due to an extension of the duration of the mobility, a request can be made by the student at the latest one month before the foreseen end date.</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3258AC9F"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C2</w:t>
      </w:r>
      <w:r w:rsidR="00374232">
        <w:rPr>
          <w:rFonts w:ascii="Calibri" w:hAnsi="Calibri" w:cs="Calibri"/>
          <w:color w:val="000000" w:themeColor="text1"/>
        </w:rPr>
        <w:t xml:space="preserve"> </w:t>
      </w:r>
      <w:r w:rsidR="00374232">
        <w:rPr>
          <w:rFonts w:ascii="Calibri" w:hAnsi="Calibri" w:cs="Calibri"/>
          <w:color w:val="000000" w:themeColor="text1"/>
        </w:rPr>
        <w:t>(when applicable)</w:t>
      </w:r>
      <w:r w:rsidRPr="3E859DBA">
        <w:rPr>
          <w:rFonts w:ascii="Calibri" w:hAnsi="Calibri" w:cs="Calibri"/>
          <w:color w:val="000000" w:themeColor="text1"/>
        </w:rPr>
        <w:t xml:space="preserve">, while Tables A, B and C should not be modified. All Tables (A, B, C, A2, B2 and C2) </w:t>
      </w:r>
      <w:r w:rsidR="00374232" w:rsidRPr="00374232">
        <w:rPr>
          <w:rFonts w:ascii="Calibri" w:hAnsi="Calibri" w:cs="Calibri"/>
          <w:color w:val="000000" w:themeColor="text1"/>
        </w:rPr>
        <w:t xml:space="preserve">should be kept together in all communications. </w:t>
      </w:r>
      <w:r w:rsidR="00374232">
        <w:rPr>
          <w:rFonts w:ascii="Calibri" w:hAnsi="Calibri" w:cs="Calibri"/>
          <w:color w:val="000000" w:themeColor="text1"/>
        </w:rPr>
        <w:t>In case of changes, p</w:t>
      </w:r>
      <w:r w:rsidR="00374232" w:rsidRPr="00374232">
        <w:rPr>
          <w:rFonts w:ascii="Calibri" w:hAnsi="Calibri" w:cs="Calibri"/>
          <w:color w:val="000000" w:themeColor="text1"/>
        </w:rPr>
        <w:t xml:space="preserve">lease </w:t>
      </w:r>
      <w:r w:rsidR="00374232">
        <w:rPr>
          <w:rFonts w:ascii="Calibri" w:hAnsi="Calibri" w:cs="Calibri"/>
          <w:color w:val="000000" w:themeColor="text1"/>
        </w:rPr>
        <w:t>choose the appropriate</w:t>
      </w:r>
      <w:r w:rsidR="00374232" w:rsidRPr="00374232">
        <w:rPr>
          <w:rFonts w:ascii="Calibri" w:hAnsi="Calibri" w:cs="Calibri"/>
          <w:color w:val="000000" w:themeColor="text1"/>
        </w:rPr>
        <w:t xml:space="preserve"> reason </w:t>
      </w:r>
      <w:r w:rsidR="00374232">
        <w:rPr>
          <w:rFonts w:ascii="Calibri" w:hAnsi="Calibri" w:cs="Calibri"/>
          <w:color w:val="000000" w:themeColor="text1"/>
        </w:rPr>
        <w:t>from the drop-down list</w:t>
      </w:r>
      <w:r w:rsidR="00374232" w:rsidRPr="00374232">
        <w:rPr>
          <w:rFonts w:ascii="Calibri" w:hAnsi="Calibri" w:cs="Calibri"/>
          <w:color w:val="000000" w:themeColor="text1"/>
        </w:rPr>
        <w:t>.</w:t>
      </w:r>
    </w:p>
    <w:p w14:paraId="6474FA2B" w14:textId="4FAC1450" w:rsidR="00393261" w:rsidRDefault="00393261" w:rsidP="00393261">
      <w:pPr>
        <w:spacing w:after="120" w:line="240" w:lineRule="auto"/>
        <w:ind w:right="28"/>
        <w:rPr>
          <w:rFonts w:ascii="Calibri" w:hAnsi="Calibri" w:cs="Calibri"/>
          <w:color w:val="000000"/>
        </w:rPr>
      </w:pPr>
    </w:p>
    <w:p w14:paraId="3D6CAB79" w14:textId="77777777" w:rsidR="00374232" w:rsidRPr="00D07346" w:rsidRDefault="00374232" w:rsidP="00374232">
      <w:pPr>
        <w:spacing w:after="120" w:line="240" w:lineRule="auto"/>
        <w:ind w:right="28"/>
        <w:rPr>
          <w:rFonts w:ascii="Calibri" w:hAnsi="Calibri" w:cs="Calibri"/>
          <w:b/>
          <w:bCs/>
          <w:color w:val="000000"/>
          <w:u w:val="single"/>
        </w:rPr>
      </w:pPr>
      <w:r w:rsidRPr="00D07346">
        <w:rPr>
          <w:rFonts w:ascii="Calibri" w:hAnsi="Calibri" w:cs="Calibri"/>
          <w:b/>
          <w:bCs/>
          <w:color w:val="000000"/>
          <w:u w:val="single"/>
        </w:rPr>
        <w:t>Confirming the Changes</w:t>
      </w:r>
    </w:p>
    <w:p w14:paraId="17942F82" w14:textId="0CFB1C00" w:rsidR="00374232" w:rsidRDefault="00374232" w:rsidP="00D07346">
      <w:pPr>
        <w:spacing w:after="120" w:line="240" w:lineRule="auto"/>
        <w:ind w:right="28"/>
        <w:jc w:val="both"/>
        <w:rPr>
          <w:rFonts w:ascii="Calibri" w:hAnsi="Calibri" w:cs="Calibri"/>
          <w:color w:val="000000"/>
        </w:rPr>
      </w:pPr>
      <w:r w:rsidRPr="00374232">
        <w:rPr>
          <w:rFonts w:ascii="Calibri" w:hAnsi="Calibri" w:cs="Calibri"/>
          <w:color w:val="000000"/>
        </w:rPr>
        <w:t>All parties must approve the changes to the Learning Agreement. The European Commission would like to limit the use of paper for exchanging documents and it is therefore accepted to exchange information electronically, e.g. via email, scanned or digital signatures, etc. without the need of a paper signature. However, if national legislations or institutional regulations require paper signatures, a signature box should be added where needed.</w:t>
      </w:r>
    </w:p>
    <w:p w14:paraId="3BBD9F03" w14:textId="77777777" w:rsidR="00374232" w:rsidRPr="00393261" w:rsidRDefault="00374232" w:rsidP="00393261">
      <w:pPr>
        <w:autoSpaceDE w:val="0"/>
        <w:autoSpaceDN w:val="0"/>
        <w:adjustRightInd w:val="0"/>
        <w:spacing w:after="0" w:line="240" w:lineRule="auto"/>
        <w:rPr>
          <w:rFonts w:ascii="Calibri" w:hAnsi="Calibri" w:cs="Calibri"/>
          <w:color w:val="000000"/>
        </w:rPr>
      </w:pPr>
    </w:p>
    <w:p w14:paraId="7B9091E8" w14:textId="534F4216" w:rsidR="00393261" w:rsidRDefault="007D1F8E"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2FA40FDA"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r w:rsidR="00D07346">
        <w:rPr>
          <w:rFonts w:ascii="Calibri" w:hAnsi="Calibri" w:cs="Calibri"/>
          <w:b/>
          <w:bCs/>
          <w:color w:val="000000"/>
          <w:u w:val="single"/>
        </w:rPr>
        <w:t>(Table D)</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416A478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w:t>
      </w:r>
      <w:r w:rsidR="00D07346">
        <w:rPr>
          <w:rFonts w:ascii="Calibri" w:hAnsi="Calibri" w:cs="Calibri"/>
          <w:color w:val="000000"/>
        </w:rPr>
        <w:t xml:space="preserve">, </w:t>
      </w:r>
      <w:r w:rsidR="00824EDD">
        <w:rPr>
          <w:rFonts w:ascii="Calibri" w:hAnsi="Calibri" w:cs="Calibri"/>
          <w:color w:val="000000"/>
        </w:rPr>
        <w:t xml:space="preserve">and </w:t>
      </w:r>
      <w:r w:rsidRPr="00393261">
        <w:rPr>
          <w:rFonts w:ascii="Calibri" w:hAnsi="Calibri" w:cs="Calibri"/>
          <w:color w:val="000000"/>
        </w:rPr>
        <w:t>where applicable</w:t>
      </w:r>
      <w:r w:rsidR="00824EDD">
        <w:rPr>
          <w:rFonts w:ascii="Calibri" w:hAnsi="Calibri" w:cs="Calibri"/>
          <w:color w:val="000000"/>
        </w:rPr>
        <w:t xml:space="preserve"> </w:t>
      </w:r>
      <w:r w:rsidR="00D07346">
        <w:rPr>
          <w:rFonts w:ascii="Calibri" w:hAnsi="Calibri" w:cs="Calibri"/>
          <w:color w:val="000000"/>
        </w:rPr>
        <w:t>B</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D07346">
        <w:rPr>
          <w:rFonts w:ascii="Calibri" w:hAnsi="Calibri" w:cs="Calibri"/>
          <w:color w:val="000000"/>
        </w:rPr>
        <w:t xml:space="preserve"> and B</w:t>
      </w:r>
      <w:r w:rsidR="00824EDD">
        <w:rPr>
          <w:rFonts w:ascii="Calibri" w:hAnsi="Calibri" w:cs="Calibri"/>
          <w:color w:val="000000"/>
        </w:rPr>
        <w:t>2 where applicable</w:t>
      </w:r>
      <w:r w:rsidRPr="00393261">
        <w:rPr>
          <w:rFonts w:ascii="Calibri" w:hAnsi="Calibri" w:cs="Calibri"/>
          <w:color w:val="000000"/>
        </w:rPr>
        <w:t xml:space="preserve">. Grade distribution information should be included (web link or annex).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59AC4991" w:rsidR="00824EDD" w:rsidRPr="00824EDD" w:rsidRDefault="00D07346" w:rsidP="00824EDD">
      <w:pPr>
        <w:autoSpaceDE w:val="0"/>
        <w:autoSpaceDN w:val="0"/>
        <w:adjustRightInd w:val="0"/>
        <w:spacing w:after="0" w:line="240" w:lineRule="auto"/>
        <w:jc w:val="both"/>
        <w:rPr>
          <w:rFonts w:ascii="Calibri" w:hAnsi="Calibri" w:cs="Calibri"/>
          <w:b/>
          <w:bCs/>
          <w:color w:val="000000"/>
          <w:u w:val="single"/>
        </w:rPr>
      </w:pPr>
      <w:r>
        <w:rPr>
          <w:rFonts w:ascii="Calibri" w:hAnsi="Calibri" w:cs="Calibri"/>
          <w:b/>
          <w:bCs/>
          <w:color w:val="000000"/>
          <w:u w:val="single"/>
        </w:rPr>
        <w:t xml:space="preserve">Transcript of Records and </w:t>
      </w:r>
      <w:r w:rsidR="00393261"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00393261" w:rsidRPr="00824EDD">
        <w:rPr>
          <w:rFonts w:ascii="Calibri" w:hAnsi="Calibri" w:cs="Calibri"/>
          <w:b/>
          <w:bCs/>
          <w:color w:val="000000"/>
          <w:u w:val="single"/>
        </w:rPr>
        <w:t>at the Sending Institution</w:t>
      </w:r>
      <w:r>
        <w:rPr>
          <w:rFonts w:ascii="Calibri" w:hAnsi="Calibri" w:cs="Calibri"/>
          <w:b/>
          <w:bCs/>
          <w:color w:val="000000"/>
          <w:u w:val="single"/>
        </w:rPr>
        <w:t xml:space="preserve"> (Table E)</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0A335F4A"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B257FA">
        <w:rPr>
          <w:rFonts w:ascii="Calibri" w:hAnsi="Calibri" w:cs="Calibri"/>
          <w:color w:val="000000" w:themeColor="text1"/>
        </w:rPr>
        <w:t>C (and</w:t>
      </w:r>
      <w:r w:rsidR="00824EDD">
        <w:t xml:space="preserve"> if applicable, </w:t>
      </w:r>
      <w:r w:rsidR="00B257FA">
        <w:t xml:space="preserve">B, </w:t>
      </w:r>
      <w:r w:rsidR="00824EDD">
        <w:t>B2 and C2)</w:t>
      </w:r>
      <w:r w:rsidR="00B257FA">
        <w:t xml:space="preserve">. </w:t>
      </w:r>
    </w:p>
    <w:p w14:paraId="55563276" w14:textId="6C3F0951"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lastRenderedPageBreak/>
        <w:t xml:space="preserve">Where applicable, the Sending Institution will convert the grades received by the student abroad, taking into account the grade distribution information from the Receiving Institution (see the methodology described in the </w:t>
      </w:r>
      <w:hyperlink r:id="rId13" w:history="1">
        <w:r w:rsidRPr="00D87F67">
          <w:rPr>
            <w:rStyle w:val="Hyperlink"/>
            <w:rFonts w:ascii="Calibri" w:hAnsi="Calibri" w:cs="Calibri"/>
          </w:rPr>
          <w:t>ECTS Users' Gu</w:t>
        </w:r>
        <w:r w:rsidRPr="00D87F67">
          <w:rPr>
            <w:rStyle w:val="Hyperlink"/>
            <w:rFonts w:ascii="Calibri" w:hAnsi="Calibri" w:cs="Calibri"/>
          </w:rPr>
          <w:t>i</w:t>
        </w:r>
        <w:r w:rsidRPr="00D87F67">
          <w:rPr>
            <w:rStyle w:val="Hyperlink"/>
            <w:rFonts w:ascii="Calibri" w:hAnsi="Calibri" w:cs="Calibri"/>
          </w:rPr>
          <w:t>de</w:t>
        </w:r>
      </w:hyperlink>
      <w:r w:rsidRPr="00A10BD6">
        <w:rPr>
          <w:rFonts w:ascii="Calibri" w:hAnsi="Calibri" w:cs="Calibri"/>
          <w:color w:val="000000"/>
        </w:rPr>
        <w:t xml:space="preserve">). The European Commission encourages institutions to use the </w:t>
      </w:r>
      <w:hyperlink r:id="rId14" w:history="1">
        <w:r w:rsidRPr="00D87F67">
          <w:rPr>
            <w:rStyle w:val="Hyperlink"/>
            <w:rFonts w:ascii="Calibri" w:hAnsi="Calibri" w:cs="Calibri"/>
          </w:rPr>
          <w:t>EGR</w:t>
        </w:r>
        <w:r w:rsidRPr="00D87F67">
          <w:rPr>
            <w:rStyle w:val="Hyperlink"/>
            <w:rFonts w:ascii="Calibri" w:hAnsi="Calibri" w:cs="Calibri"/>
          </w:rPr>
          <w:t>A</w:t>
        </w:r>
        <w:r w:rsidRPr="00D87F67">
          <w:rPr>
            <w:rStyle w:val="Hyperlink"/>
            <w:rFonts w:ascii="Calibri" w:hAnsi="Calibri" w:cs="Calibri"/>
          </w:rPr>
          <w:t>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481E2622"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w:t>
      </w:r>
      <w:r w:rsidR="00B257FA">
        <w:rPr>
          <w:rFonts w:ascii="Calibri" w:hAnsi="Calibri" w:cs="Calibri"/>
          <w:color w:val="000000"/>
        </w:rPr>
        <w:t xml:space="preserve">(Table E) </w:t>
      </w:r>
      <w:r w:rsidRPr="00A10BD6">
        <w:rPr>
          <w:rFonts w:ascii="Calibri" w:hAnsi="Calibri" w:cs="Calibri"/>
          <w:color w:val="000000"/>
        </w:rPr>
        <w:t xml:space="preserve">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1CC5B27F" w:rsidR="00824EDD" w:rsidRDefault="00A10BD6" w:rsidP="00A10BD6">
      <w:pPr>
        <w:jc w:val="both"/>
        <w:rPr>
          <w:rFonts w:ascii="Calibri" w:hAnsi="Calibri" w:cs="Calibri"/>
          <w:color w:val="000000" w:themeColor="text1"/>
        </w:rPr>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15">
        <w:r w:rsidRPr="3E859DBA">
          <w:rPr>
            <w:rStyle w:val="Hyperlink"/>
            <w:rFonts w:ascii="Calibri" w:hAnsi="Calibri" w:cs="Calibri"/>
          </w:rPr>
          <w:t>Diploma Supplement</w:t>
        </w:r>
      </w:hyperlink>
      <w:r w:rsidRPr="3E859DBA">
        <w:rPr>
          <w:rFonts w:ascii="Calibri" w:hAnsi="Calibri" w:cs="Calibri"/>
          <w:color w:val="000000" w:themeColor="text1"/>
        </w:rPr>
        <w:t xml:space="preserve"> produced by the Sending Institution </w:t>
      </w:r>
      <w:r w:rsidR="005C7C7C" w:rsidRPr="005C7C7C">
        <w:rPr>
          <w:rFonts w:ascii="Calibri" w:hAnsi="Calibri" w:cs="Calibri"/>
          <w:color w:val="000000" w:themeColor="text1"/>
        </w:rPr>
        <w:t xml:space="preserve">(at least for Sending Institutions located in </w:t>
      </w:r>
      <w:r w:rsidR="005C7C7C">
        <w:rPr>
          <w:rFonts w:ascii="Calibri" w:hAnsi="Calibri" w:cs="Calibri"/>
          <w:color w:val="000000" w:themeColor="text1"/>
        </w:rPr>
        <w:t>EU Member States or associated third countries</w:t>
      </w:r>
      <w:r w:rsidR="005C7C7C" w:rsidRPr="005C7C7C">
        <w:rPr>
          <w:rFonts w:ascii="Calibri" w:hAnsi="Calibri" w:cs="Calibri"/>
          <w:color w:val="000000" w:themeColor="text1"/>
        </w:rPr>
        <w:t>)</w:t>
      </w:r>
      <w:r w:rsidR="005C7C7C">
        <w:rPr>
          <w:rFonts w:ascii="Calibri" w:hAnsi="Calibri" w:cs="Calibri"/>
          <w:color w:val="000000" w:themeColor="text1"/>
        </w:rPr>
        <w:t xml:space="preserve"> </w:t>
      </w:r>
      <w:r w:rsidRPr="3E859DBA">
        <w:rPr>
          <w:rFonts w:ascii="Calibri" w:hAnsi="Calibri" w:cs="Calibri"/>
          <w:color w:val="000000" w:themeColor="text1"/>
        </w:rPr>
        <w:t>with the exact titles of the components that the student has followed abroad.</w:t>
      </w:r>
    </w:p>
    <w:p w14:paraId="675D817C" w14:textId="31AF0FCC" w:rsidR="001C16F5" w:rsidRDefault="001C16F5" w:rsidP="00A10BD6">
      <w:pPr>
        <w:jc w:val="both"/>
        <w:rPr>
          <w:rFonts w:ascii="Calibri" w:hAnsi="Calibri" w:cs="Calibri"/>
          <w:color w:val="000000" w:themeColor="text1"/>
        </w:rPr>
      </w:pPr>
      <w:bookmarkStart w:id="0" w:name="_GoBack"/>
      <w:bookmarkEnd w:id="0"/>
    </w:p>
    <w:p w14:paraId="11A31D79" w14:textId="515087C8" w:rsidR="001C16F5" w:rsidRDefault="001C16F5" w:rsidP="00A10BD6">
      <w:pPr>
        <w:jc w:val="both"/>
        <w:rPr>
          <w:rFonts w:ascii="Calibri" w:hAnsi="Calibri" w:cs="Calibri"/>
          <w:color w:val="000000" w:themeColor="text1"/>
        </w:rPr>
      </w:pPr>
    </w:p>
    <w:p w14:paraId="734F6423" w14:textId="083AA82B" w:rsidR="001C16F5" w:rsidRDefault="001C16F5" w:rsidP="00A10BD6">
      <w:pPr>
        <w:jc w:val="both"/>
        <w:rPr>
          <w:rFonts w:ascii="Calibri" w:hAnsi="Calibri" w:cs="Calibri"/>
          <w:color w:val="000000" w:themeColor="text1"/>
        </w:rPr>
      </w:pPr>
    </w:p>
    <w:p w14:paraId="6739BE2F" w14:textId="53B46B0C" w:rsidR="001C16F5" w:rsidRDefault="001C16F5" w:rsidP="00A10BD6">
      <w:pPr>
        <w:jc w:val="both"/>
        <w:rPr>
          <w:rFonts w:ascii="Calibri" w:hAnsi="Calibri" w:cs="Calibri"/>
          <w:color w:val="000000" w:themeColor="text1"/>
        </w:rPr>
      </w:pPr>
    </w:p>
    <w:p w14:paraId="57A3E4BC" w14:textId="458AEB98" w:rsidR="001C16F5" w:rsidRDefault="001C16F5" w:rsidP="00A10BD6">
      <w:pPr>
        <w:jc w:val="both"/>
        <w:rPr>
          <w:rFonts w:ascii="Calibri" w:hAnsi="Calibri" w:cs="Calibri"/>
          <w:color w:val="000000" w:themeColor="text1"/>
        </w:rPr>
      </w:pPr>
    </w:p>
    <w:p w14:paraId="7D7D0440" w14:textId="401909E1" w:rsidR="001C16F5" w:rsidRDefault="001C16F5" w:rsidP="00A10BD6">
      <w:pPr>
        <w:jc w:val="both"/>
        <w:rPr>
          <w:rFonts w:ascii="Calibri" w:hAnsi="Calibri" w:cs="Calibri"/>
          <w:color w:val="000000" w:themeColor="text1"/>
        </w:rPr>
      </w:pPr>
    </w:p>
    <w:p w14:paraId="1B9CD5AE" w14:textId="6ABE3EFD" w:rsidR="001C16F5" w:rsidRDefault="001C16F5" w:rsidP="00A10BD6">
      <w:pPr>
        <w:jc w:val="both"/>
        <w:rPr>
          <w:rFonts w:ascii="Calibri" w:hAnsi="Calibri" w:cs="Calibri"/>
          <w:color w:val="000000" w:themeColor="text1"/>
        </w:rPr>
      </w:pPr>
    </w:p>
    <w:p w14:paraId="1F835464" w14:textId="0C494A10" w:rsidR="001C16F5" w:rsidRDefault="001C16F5" w:rsidP="00A10BD6">
      <w:pPr>
        <w:jc w:val="both"/>
        <w:rPr>
          <w:rFonts w:ascii="Calibri" w:hAnsi="Calibri" w:cs="Calibri"/>
          <w:color w:val="000000" w:themeColor="text1"/>
        </w:rPr>
      </w:pPr>
    </w:p>
    <w:p w14:paraId="72AAF118" w14:textId="77777777" w:rsidR="001C16F5" w:rsidRPr="00526BAE" w:rsidRDefault="001C16F5" w:rsidP="00A10BD6">
      <w:pPr>
        <w:jc w:val="both"/>
      </w:pPr>
    </w:p>
    <w:sectPr w:rsidR="001C16F5" w:rsidRPr="00526BA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85091" w16cid:durableId="23414022"/>
  <w16cid:commentId w16cid:paraId="6AC82F47" w16cid:durableId="14C76CEC"/>
  <w16cid:commentId w16cid:paraId="3B5FE7FF" w16cid:durableId="578EBE68"/>
  <w16cid:commentId w16cid:paraId="193038F6" w16cid:durableId="2681E553"/>
  <w16cid:commentId w16cid:paraId="4547BF5B" w16cid:durableId="6BD597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BE87" w14:textId="77777777" w:rsidR="00FE1A46" w:rsidRDefault="00FE1A46" w:rsidP="002C2B50">
      <w:pPr>
        <w:spacing w:after="0" w:line="240" w:lineRule="auto"/>
      </w:pPr>
      <w:r>
        <w:separator/>
      </w:r>
    </w:p>
  </w:endnote>
  <w:endnote w:type="continuationSeparator" w:id="0">
    <w:p w14:paraId="1B486303" w14:textId="77777777" w:rsidR="00FE1A46" w:rsidRDefault="00FE1A46"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6FE3" w14:textId="77777777" w:rsidR="00A32944" w:rsidRDefault="00A3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2A7" w14:textId="77777777" w:rsidR="00A32944" w:rsidRDefault="00A32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8721" w14:textId="77777777" w:rsidR="00A32944" w:rsidRDefault="00A3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0429" w14:textId="77777777" w:rsidR="00FE1A46" w:rsidRDefault="00FE1A46" w:rsidP="002C2B50">
      <w:pPr>
        <w:spacing w:after="0" w:line="240" w:lineRule="auto"/>
      </w:pPr>
      <w:r>
        <w:separator/>
      </w:r>
    </w:p>
  </w:footnote>
  <w:footnote w:type="continuationSeparator" w:id="0">
    <w:p w14:paraId="7D0A0ED2" w14:textId="77777777" w:rsidR="00FE1A46" w:rsidRDefault="00FE1A46"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06C" w14:textId="77777777" w:rsidR="00A32944" w:rsidRDefault="00A3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399B3C88" w:rsidR="00393261" w:rsidRPr="002C2B50" w:rsidRDefault="00393261" w:rsidP="002C2B50">
    <w:pPr>
      <w:pStyle w:val="Header"/>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97AC" w14:textId="77777777" w:rsidR="00A32944" w:rsidRDefault="00A3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04819"/>
    <w:rsid w:val="0005065C"/>
    <w:rsid w:val="00097C92"/>
    <w:rsid w:val="000A2F67"/>
    <w:rsid w:val="000A7E3E"/>
    <w:rsid w:val="000E1B01"/>
    <w:rsid w:val="0016103E"/>
    <w:rsid w:val="001C16F5"/>
    <w:rsid w:val="00203E72"/>
    <w:rsid w:val="0023343E"/>
    <w:rsid w:val="002B502D"/>
    <w:rsid w:val="002C2B50"/>
    <w:rsid w:val="002D2684"/>
    <w:rsid w:val="002F7268"/>
    <w:rsid w:val="00340475"/>
    <w:rsid w:val="003602E8"/>
    <w:rsid w:val="003674C5"/>
    <w:rsid w:val="00374232"/>
    <w:rsid w:val="00393261"/>
    <w:rsid w:val="003F0997"/>
    <w:rsid w:val="00463294"/>
    <w:rsid w:val="00485DE3"/>
    <w:rsid w:val="004F1CD1"/>
    <w:rsid w:val="00526BAE"/>
    <w:rsid w:val="00532072"/>
    <w:rsid w:val="00550320"/>
    <w:rsid w:val="005551A1"/>
    <w:rsid w:val="00565463"/>
    <w:rsid w:val="00597A08"/>
    <w:rsid w:val="005A398F"/>
    <w:rsid w:val="005B2B7D"/>
    <w:rsid w:val="005B2D3E"/>
    <w:rsid w:val="005B3B86"/>
    <w:rsid w:val="005C7C7C"/>
    <w:rsid w:val="0063652E"/>
    <w:rsid w:val="006E5D77"/>
    <w:rsid w:val="00714F97"/>
    <w:rsid w:val="0073538D"/>
    <w:rsid w:val="00735A3D"/>
    <w:rsid w:val="00772900"/>
    <w:rsid w:val="0078202D"/>
    <w:rsid w:val="00790841"/>
    <w:rsid w:val="007A3D02"/>
    <w:rsid w:val="007B4376"/>
    <w:rsid w:val="007D1F8E"/>
    <w:rsid w:val="007D36C0"/>
    <w:rsid w:val="00805D46"/>
    <w:rsid w:val="00812BE2"/>
    <w:rsid w:val="00824EDD"/>
    <w:rsid w:val="00824FA6"/>
    <w:rsid w:val="008624FF"/>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257FA"/>
    <w:rsid w:val="00B41959"/>
    <w:rsid w:val="00B525AC"/>
    <w:rsid w:val="00B9446F"/>
    <w:rsid w:val="00BD2E0D"/>
    <w:rsid w:val="00BD62D4"/>
    <w:rsid w:val="00BD6889"/>
    <w:rsid w:val="00C24F60"/>
    <w:rsid w:val="00CA6AFA"/>
    <w:rsid w:val="00CA729D"/>
    <w:rsid w:val="00CF3D29"/>
    <w:rsid w:val="00D07346"/>
    <w:rsid w:val="00D17D75"/>
    <w:rsid w:val="00D2505E"/>
    <w:rsid w:val="00D408E8"/>
    <w:rsid w:val="00D766D7"/>
    <w:rsid w:val="00D87F67"/>
    <w:rsid w:val="00DC1EC8"/>
    <w:rsid w:val="00E34621"/>
    <w:rsid w:val="00E35AAA"/>
    <w:rsid w:val="00E41E91"/>
    <w:rsid w:val="00E77663"/>
    <w:rsid w:val="00EA010E"/>
    <w:rsid w:val="00ED1DCE"/>
    <w:rsid w:val="00EF3AAF"/>
    <w:rsid w:val="00F14F1F"/>
    <w:rsid w:val="00F17DA3"/>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16F5"/>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C16F5"/>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C16F5"/>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C16F5"/>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50"/>
  </w:style>
  <w:style w:type="paragraph" w:styleId="Footer">
    <w:name w:val="footer"/>
    <w:basedOn w:val="Normal"/>
    <w:link w:val="FooterChar"/>
    <w:uiPriority w:val="99"/>
    <w:unhideWhenUsed/>
    <w:rsid w:val="002C2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F7268"/>
    <w:pPr>
      <w:ind w:left="720"/>
      <w:contextualSpacing/>
    </w:pPr>
  </w:style>
  <w:style w:type="character" w:styleId="Hyperlink">
    <w:name w:val="Hyperlink"/>
    <w:basedOn w:val="DefaultParagraphFont"/>
    <w:unhideWhenUsed/>
    <w:rsid w:val="00B9446F"/>
    <w:rPr>
      <w:color w:val="0563C1" w:themeColor="hyperlink"/>
      <w:u w:val="single"/>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
    <w:link w:val="FootnoteReference"/>
    <w:uiPriority w:val="99"/>
    <w:rsid w:val="0073538D"/>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F92902"/>
    <w:rPr>
      <w:sz w:val="16"/>
      <w:szCs w:val="16"/>
    </w:rPr>
  </w:style>
  <w:style w:type="paragraph" w:styleId="CommentText">
    <w:name w:val="annotation text"/>
    <w:basedOn w:val="Normal"/>
    <w:link w:val="CommentTextChar"/>
    <w:uiPriority w:val="99"/>
    <w:semiHidden/>
    <w:unhideWhenUsed/>
    <w:rsid w:val="00F92902"/>
    <w:pPr>
      <w:spacing w:line="240" w:lineRule="auto"/>
    </w:pPr>
    <w:rPr>
      <w:sz w:val="20"/>
      <w:szCs w:val="20"/>
    </w:rPr>
  </w:style>
  <w:style w:type="character" w:customStyle="1" w:styleId="CommentTextChar">
    <w:name w:val="Comment Text Char"/>
    <w:basedOn w:val="DefaultParagraphFont"/>
    <w:link w:val="CommentText"/>
    <w:uiPriority w:val="99"/>
    <w:semiHidden/>
    <w:rsid w:val="00F92902"/>
    <w:rPr>
      <w:sz w:val="20"/>
      <w:szCs w:val="20"/>
    </w:rPr>
  </w:style>
  <w:style w:type="paragraph" w:styleId="CommentSubject">
    <w:name w:val="annotation subject"/>
    <w:basedOn w:val="CommentText"/>
    <w:next w:val="CommentText"/>
    <w:link w:val="CommentSubjectChar"/>
    <w:uiPriority w:val="99"/>
    <w:semiHidden/>
    <w:unhideWhenUsed/>
    <w:rsid w:val="00F92902"/>
    <w:rPr>
      <w:b/>
      <w:bCs/>
    </w:rPr>
  </w:style>
  <w:style w:type="character" w:customStyle="1" w:styleId="CommentSubjectChar">
    <w:name w:val="Comment Subject Char"/>
    <w:basedOn w:val="CommentTextChar"/>
    <w:link w:val="CommentSubject"/>
    <w:uiPriority w:val="99"/>
    <w:semiHidden/>
    <w:rsid w:val="00F92902"/>
    <w:rPr>
      <w:b/>
      <w:bCs/>
      <w:sz w:val="20"/>
      <w:szCs w:val="20"/>
    </w:rPr>
  </w:style>
  <w:style w:type="paragraph" w:styleId="Revision">
    <w:name w:val="Revision"/>
    <w:hidden/>
    <w:uiPriority w:val="99"/>
    <w:semiHidden/>
    <w:rsid w:val="00F92902"/>
    <w:pPr>
      <w:spacing w:after="0" w:line="240" w:lineRule="auto"/>
    </w:pPr>
  </w:style>
  <w:style w:type="paragraph" w:styleId="BalloonText">
    <w:name w:val="Balloon Text"/>
    <w:basedOn w:val="Normal"/>
    <w:link w:val="BalloonTextChar"/>
    <w:uiPriority w:val="99"/>
    <w:semiHidden/>
    <w:unhideWhenUsed/>
    <w:rsid w:val="00F9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2"/>
    <w:rPr>
      <w:rFonts w:ascii="Segoe UI" w:hAnsi="Segoe UI" w:cs="Segoe UI"/>
      <w:sz w:val="18"/>
      <w:szCs w:val="18"/>
    </w:rPr>
  </w:style>
  <w:style w:type="table" w:styleId="TableGrid">
    <w:name w:val="Table Grid"/>
    <w:basedOn w:val="TableNormal"/>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5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F08"/>
    <w:rPr>
      <w:sz w:val="20"/>
      <w:szCs w:val="20"/>
    </w:rPr>
  </w:style>
  <w:style w:type="character" w:styleId="FollowedHyperlink">
    <w:name w:val="FollowedHyperlink"/>
    <w:basedOn w:val="DefaultParagraphFont"/>
    <w:uiPriority w:val="99"/>
    <w:semiHidden/>
    <w:unhideWhenUsed/>
    <w:rsid w:val="005A398F"/>
    <w:rPr>
      <w:color w:val="954F72" w:themeColor="followedHyperlink"/>
      <w:u w:val="single"/>
    </w:rPr>
  </w:style>
  <w:style w:type="character" w:customStyle="1" w:styleId="Heading1Char">
    <w:name w:val="Heading 1 Char"/>
    <w:basedOn w:val="DefaultParagraphFont"/>
    <w:link w:val="Heading1"/>
    <w:rsid w:val="001C16F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C16F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C16F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C16F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uropa.eu/europas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iploma-supplement" TargetMode="External"/><Relationship Id="rId5" Type="http://schemas.openxmlformats.org/officeDocument/2006/relationships/numbering" Target="numbering.xml"/><Relationship Id="rId15" Type="http://schemas.openxmlformats.org/officeDocument/2006/relationships/hyperlink" Target="https://ec.europa.eu/education/diploma-supplement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gracons.eu/"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2C5ECB-1E3D-4DC8-BF71-9C98ECA30A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2.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3.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BF130-1D41-43AA-A2ED-6ACA7BE6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2826</Words>
  <Characters>15097</Characters>
  <Application>Microsoft Office Word</Application>
  <DocSecurity>0</DocSecurity>
  <Lines>335</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IRIKOVA Antoaneta (EAC)</cp:lastModifiedBy>
  <cp:revision>16</cp:revision>
  <dcterms:created xsi:type="dcterms:W3CDTF">2022-07-20T09:04:00Z</dcterms:created>
  <dcterms:modified xsi:type="dcterms:W3CDTF">2022-07-20T14:54:00Z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